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DBC546" w14:textId="77777777" w:rsidR="00A970AD" w:rsidRPr="00EF0A47" w:rsidRDefault="00A970AD" w:rsidP="00A970AD">
      <w:pPr>
        <w:widowControl/>
        <w:spacing w:before="100" w:beforeAutospacing="1" w:after="198" w:line="357" w:lineRule="atLeast"/>
        <w:jc w:val="left"/>
        <w:rPr>
          <w:rFonts w:ascii="Helvetica Neue" w:hAnsi="Helvetica Neue" w:cs="Times New Roman"/>
          <w:color w:val="222222"/>
          <w:kern w:val="0"/>
          <w:sz w:val="21"/>
          <w:szCs w:val="21"/>
        </w:rPr>
      </w:pPr>
      <w:r>
        <w:rPr>
          <w:rFonts w:ascii="Helvetica Neue" w:hAnsi="Helvetica Neue" w:cs="Times New Roman" w:hint="eastAsia"/>
          <w:b/>
          <w:bCs/>
          <w:color w:val="222222"/>
          <w:kern w:val="0"/>
          <w:sz w:val="21"/>
          <w:szCs w:val="21"/>
        </w:rPr>
        <w:t>Trademark</w:t>
      </w:r>
      <w:r w:rsidRPr="00EF0A47">
        <w:rPr>
          <w:rFonts w:ascii="Helvetica Neue" w:hAnsi="Helvetica Neue" w:cs="Times New Roman"/>
          <w:b/>
          <w:bCs/>
          <w:color w:val="222222"/>
          <w:kern w:val="0"/>
          <w:sz w:val="21"/>
          <w:szCs w:val="21"/>
        </w:rPr>
        <w:t xml:space="preserve"> Cases From 2013-2014</w:t>
      </w:r>
    </w:p>
    <w:p w14:paraId="25528C44" w14:textId="77777777" w:rsidR="00A970AD" w:rsidRDefault="00A970AD">
      <w:pPr>
        <w:jc w:val="left"/>
      </w:pPr>
    </w:p>
    <w:tbl>
      <w:tblPr>
        <w:tblStyle w:val="a4"/>
        <w:tblW w:w="10491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277"/>
        <w:gridCol w:w="1559"/>
        <w:gridCol w:w="1559"/>
        <w:gridCol w:w="1418"/>
        <w:gridCol w:w="1559"/>
        <w:gridCol w:w="1559"/>
        <w:gridCol w:w="1560"/>
      </w:tblGrid>
      <w:tr w:rsidR="00EF3588" w:rsidRPr="0089371F" w14:paraId="7DBF005E" w14:textId="77777777" w:rsidTr="00AA66C3">
        <w:trPr>
          <w:trHeight w:val="2116"/>
        </w:trPr>
        <w:tc>
          <w:tcPr>
            <w:tcW w:w="1277" w:type="dxa"/>
          </w:tcPr>
          <w:p w14:paraId="4199A8C9" w14:textId="77777777" w:rsidR="00A970AD" w:rsidRPr="00EF3588" w:rsidRDefault="00A970AD" w:rsidP="00AC138C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14:paraId="3EECF731" w14:textId="39C654A7" w:rsidR="00A970AD" w:rsidRPr="00EF3588" w:rsidRDefault="00A970AD" w:rsidP="006D513D">
            <w:pPr>
              <w:widowControl/>
              <w:spacing w:after="390"/>
              <w:rPr>
                <w:rFonts w:ascii="inherit" w:eastAsia="Times New Roman" w:hAnsi="inherit" w:cs="Times New Roman"/>
                <w:color w:val="222222"/>
                <w:kern w:val="0"/>
                <w:sz w:val="20"/>
                <w:szCs w:val="20"/>
              </w:rPr>
            </w:pPr>
            <w:r w:rsidRPr="00EF3588">
              <w:rPr>
                <w:rFonts w:ascii="inherit" w:eastAsia="Times New Roman" w:hAnsi="inherit" w:cs="Times New Roman"/>
                <w:color w:val="222222"/>
                <w:kern w:val="0"/>
                <w:sz w:val="20"/>
                <w:szCs w:val="20"/>
              </w:rPr>
              <w:t>Administrative cases filed about Authorization and Determination of Trade</w:t>
            </w:r>
            <w:bookmarkStart w:id="0" w:name="_GoBack"/>
            <w:bookmarkEnd w:id="0"/>
            <w:r w:rsidRPr="00EF3588">
              <w:rPr>
                <w:rFonts w:ascii="inherit" w:eastAsia="Times New Roman" w:hAnsi="inherit" w:cs="Times New Roman"/>
                <w:color w:val="222222"/>
                <w:kern w:val="0"/>
                <w:sz w:val="20"/>
                <w:szCs w:val="20"/>
              </w:rPr>
              <w:t>mark Rights</w:t>
            </w:r>
          </w:p>
          <w:p w14:paraId="23D3FA47" w14:textId="096A2281" w:rsidR="00A970AD" w:rsidRPr="00EF3588" w:rsidRDefault="00A970AD" w:rsidP="006D513D">
            <w:pPr>
              <w:rPr>
                <w:sz w:val="20"/>
                <w:szCs w:val="20"/>
              </w:rPr>
            </w:pPr>
            <w:r w:rsidRPr="00EF3588">
              <w:rPr>
                <w:rFonts w:ascii="inherit" w:eastAsia="Times New Roman" w:hAnsi="inherit" w:cs="Times New Roman"/>
                <w:color w:val="222222"/>
                <w:kern w:val="0"/>
                <w:sz w:val="20"/>
                <w:szCs w:val="20"/>
              </w:rPr>
              <w:t>(</w:t>
            </w:r>
            <w:r w:rsidR="00EF3588" w:rsidRPr="00EF3588">
              <w:rPr>
                <w:rFonts w:ascii="inherit" w:eastAsia="Times New Roman" w:hAnsi="inherit" w:cs="Times New Roman"/>
                <w:color w:val="222222"/>
                <w:kern w:val="0"/>
                <w:sz w:val="20"/>
                <w:szCs w:val="20"/>
              </w:rPr>
              <w:t>1</w:t>
            </w:r>
            <w:r w:rsidR="00EF3588" w:rsidRPr="00EF3588">
              <w:rPr>
                <w:rFonts w:ascii="Helvetica Neue" w:eastAsia="Times New Roman" w:hAnsi="Helvetica Neue" w:cs="Times New Roman"/>
                <w:color w:val="222222"/>
                <w:kern w:val="0"/>
                <w:sz w:val="20"/>
                <w:szCs w:val="20"/>
                <w:vertAlign w:val="superscript"/>
              </w:rPr>
              <w:t>st</w:t>
            </w:r>
            <w:r w:rsidR="00EF3588" w:rsidRPr="00EF3588">
              <w:rPr>
                <w:rFonts w:ascii="inherit" w:eastAsia="Times New Roman" w:hAnsi="inherit" w:cs="Times New Roman"/>
                <w:color w:val="222222"/>
                <w:kern w:val="0"/>
                <w:sz w:val="20"/>
                <w:szCs w:val="20"/>
              </w:rPr>
              <w:t> instance</w:t>
            </w:r>
            <w:r w:rsidRPr="00EF3588">
              <w:rPr>
                <w:rFonts w:ascii="inherit" w:eastAsia="Times New Roman" w:hAnsi="inherit" w:cs="Times New Roman"/>
                <w:color w:val="222222"/>
                <w:kern w:val="0"/>
                <w:sz w:val="20"/>
                <w:szCs w:val="20"/>
              </w:rPr>
              <w:t>)</w:t>
            </w:r>
          </w:p>
        </w:tc>
        <w:tc>
          <w:tcPr>
            <w:tcW w:w="1559" w:type="dxa"/>
          </w:tcPr>
          <w:p w14:paraId="163549B7" w14:textId="77777777" w:rsidR="00A970AD" w:rsidRPr="00EF3588" w:rsidRDefault="00A970AD" w:rsidP="00AC138C">
            <w:pPr>
              <w:rPr>
                <w:sz w:val="20"/>
                <w:szCs w:val="20"/>
              </w:rPr>
            </w:pPr>
            <w:r w:rsidRPr="00EF3588">
              <w:rPr>
                <w:rFonts w:ascii="inherit" w:eastAsia="Times New Roman" w:hAnsi="inherit" w:cs="Times New Roman"/>
                <w:color w:val="222222"/>
                <w:kern w:val="0"/>
                <w:sz w:val="20"/>
                <w:szCs w:val="20"/>
              </w:rPr>
              <w:t>Cases Concluded on Authorization and Determination of Trademark Rights (1</w:t>
            </w:r>
            <w:r w:rsidRPr="00EF3588">
              <w:rPr>
                <w:rFonts w:ascii="Helvetica Neue" w:eastAsia="Times New Roman" w:hAnsi="Helvetica Neue" w:cs="Times New Roman"/>
                <w:color w:val="222222"/>
                <w:kern w:val="0"/>
                <w:sz w:val="20"/>
                <w:szCs w:val="20"/>
                <w:vertAlign w:val="superscript"/>
              </w:rPr>
              <w:t>st</w:t>
            </w:r>
            <w:r w:rsidRPr="00EF3588">
              <w:rPr>
                <w:rFonts w:ascii="inherit" w:eastAsia="Times New Roman" w:hAnsi="inherit" w:cs="Times New Roman"/>
                <w:color w:val="222222"/>
                <w:kern w:val="0"/>
                <w:sz w:val="20"/>
                <w:szCs w:val="20"/>
              </w:rPr>
              <w:t> instance)</w:t>
            </w:r>
          </w:p>
        </w:tc>
        <w:tc>
          <w:tcPr>
            <w:tcW w:w="1418" w:type="dxa"/>
          </w:tcPr>
          <w:p w14:paraId="1559B5BE" w14:textId="77777777" w:rsidR="00A970AD" w:rsidRPr="00EF3588" w:rsidRDefault="00A970AD" w:rsidP="00AC138C">
            <w:pPr>
              <w:rPr>
                <w:sz w:val="20"/>
                <w:szCs w:val="20"/>
              </w:rPr>
            </w:pPr>
            <w:r w:rsidRPr="00EF3588">
              <w:rPr>
                <w:rFonts w:ascii="inherit" w:eastAsia="Times New Roman" w:hAnsi="inherit" w:cs="Times New Roman"/>
                <w:color w:val="222222"/>
                <w:kern w:val="0"/>
                <w:sz w:val="20"/>
                <w:szCs w:val="20"/>
              </w:rPr>
              <w:t>Revocation of the decision from TRAB (1</w:t>
            </w:r>
            <w:r w:rsidRPr="00EF3588">
              <w:rPr>
                <w:rFonts w:ascii="Helvetica Neue" w:eastAsia="Times New Roman" w:hAnsi="Helvetica Neue" w:cs="Times New Roman"/>
                <w:color w:val="222222"/>
                <w:kern w:val="0"/>
                <w:sz w:val="20"/>
                <w:szCs w:val="20"/>
                <w:vertAlign w:val="superscript"/>
              </w:rPr>
              <w:t>st</w:t>
            </w:r>
            <w:r w:rsidRPr="00EF3588">
              <w:rPr>
                <w:rFonts w:ascii="inherit" w:eastAsia="Times New Roman" w:hAnsi="inherit" w:cs="Times New Roman"/>
                <w:color w:val="222222"/>
                <w:kern w:val="0"/>
                <w:sz w:val="20"/>
                <w:szCs w:val="20"/>
              </w:rPr>
              <w:t> instance)</w:t>
            </w:r>
          </w:p>
        </w:tc>
        <w:tc>
          <w:tcPr>
            <w:tcW w:w="1559" w:type="dxa"/>
          </w:tcPr>
          <w:p w14:paraId="2D9DFFB5" w14:textId="77777777" w:rsidR="00A970AD" w:rsidRPr="00EF3588" w:rsidRDefault="00A970AD" w:rsidP="00AC138C">
            <w:pPr>
              <w:rPr>
                <w:sz w:val="20"/>
                <w:szCs w:val="20"/>
              </w:rPr>
            </w:pPr>
            <w:r w:rsidRPr="00EF3588">
              <w:rPr>
                <w:rFonts w:ascii="inherit" w:eastAsia="Times New Roman" w:hAnsi="inherit" w:cs="Times New Roman"/>
                <w:color w:val="222222"/>
                <w:kern w:val="0"/>
                <w:sz w:val="20"/>
                <w:szCs w:val="20"/>
              </w:rPr>
              <w:t>Administrative cases filed about Authorization and Determination of Trademark Rights (2</w:t>
            </w:r>
            <w:r w:rsidRPr="00EF3588">
              <w:rPr>
                <w:rFonts w:ascii="Helvetica Neue" w:eastAsia="Times New Roman" w:hAnsi="Helvetica Neue" w:cs="Times New Roman"/>
                <w:color w:val="222222"/>
                <w:kern w:val="0"/>
                <w:sz w:val="20"/>
                <w:szCs w:val="20"/>
                <w:vertAlign w:val="superscript"/>
              </w:rPr>
              <w:t>nd</w:t>
            </w:r>
            <w:r w:rsidRPr="00EF3588">
              <w:rPr>
                <w:rFonts w:ascii="inherit" w:eastAsia="Times New Roman" w:hAnsi="inherit" w:cs="Times New Roman"/>
                <w:color w:val="222222"/>
                <w:kern w:val="0"/>
                <w:sz w:val="20"/>
                <w:szCs w:val="20"/>
              </w:rPr>
              <w:t> instance)</w:t>
            </w:r>
          </w:p>
        </w:tc>
        <w:tc>
          <w:tcPr>
            <w:tcW w:w="1559" w:type="dxa"/>
          </w:tcPr>
          <w:p w14:paraId="216799BF" w14:textId="77777777" w:rsidR="00A970AD" w:rsidRPr="00EF3588" w:rsidRDefault="00A970AD" w:rsidP="00AC138C">
            <w:pPr>
              <w:rPr>
                <w:sz w:val="20"/>
                <w:szCs w:val="20"/>
              </w:rPr>
            </w:pPr>
            <w:r w:rsidRPr="00EF3588">
              <w:rPr>
                <w:rFonts w:ascii="inherit" w:eastAsia="Times New Roman" w:hAnsi="inherit" w:cs="Times New Roman"/>
                <w:color w:val="222222"/>
                <w:kern w:val="0"/>
                <w:sz w:val="20"/>
                <w:szCs w:val="20"/>
              </w:rPr>
              <w:t>Cases concluded about Authorization and Determination of Trademark Rights (2</w:t>
            </w:r>
            <w:r w:rsidRPr="00EF3588">
              <w:rPr>
                <w:rFonts w:ascii="Helvetica Neue" w:eastAsia="Times New Roman" w:hAnsi="Helvetica Neue" w:cs="Times New Roman"/>
                <w:color w:val="222222"/>
                <w:kern w:val="0"/>
                <w:sz w:val="20"/>
                <w:szCs w:val="20"/>
                <w:vertAlign w:val="superscript"/>
              </w:rPr>
              <w:t>nd</w:t>
            </w:r>
            <w:r w:rsidRPr="00EF3588">
              <w:rPr>
                <w:rFonts w:ascii="inherit" w:eastAsia="Times New Roman" w:hAnsi="inherit" w:cs="Times New Roman"/>
                <w:color w:val="222222"/>
                <w:kern w:val="0"/>
                <w:sz w:val="20"/>
                <w:szCs w:val="20"/>
              </w:rPr>
              <w:t> instance)</w:t>
            </w:r>
          </w:p>
        </w:tc>
        <w:tc>
          <w:tcPr>
            <w:tcW w:w="1560" w:type="dxa"/>
          </w:tcPr>
          <w:p w14:paraId="1E8209CF" w14:textId="77777777" w:rsidR="00A970AD" w:rsidRPr="00EF3588" w:rsidRDefault="00A970AD" w:rsidP="00AC138C">
            <w:pPr>
              <w:ind w:leftChars="14" w:left="34"/>
              <w:rPr>
                <w:sz w:val="20"/>
                <w:szCs w:val="20"/>
              </w:rPr>
            </w:pPr>
            <w:r w:rsidRPr="00EF3588">
              <w:rPr>
                <w:rFonts w:ascii="inherit" w:eastAsia="Times New Roman" w:hAnsi="inherit" w:cs="Times New Roman"/>
                <w:color w:val="222222"/>
                <w:kern w:val="0"/>
                <w:sz w:val="20"/>
                <w:szCs w:val="20"/>
              </w:rPr>
              <w:t>Revocation of the decision from TRAB (2</w:t>
            </w:r>
            <w:r w:rsidRPr="00EF3588">
              <w:rPr>
                <w:rFonts w:ascii="Helvetica Neue" w:eastAsia="Times New Roman" w:hAnsi="Helvetica Neue" w:cs="Times New Roman"/>
                <w:color w:val="222222"/>
                <w:kern w:val="0"/>
                <w:sz w:val="20"/>
                <w:szCs w:val="20"/>
                <w:vertAlign w:val="superscript"/>
              </w:rPr>
              <w:t>nd</w:t>
            </w:r>
            <w:r w:rsidRPr="00EF3588">
              <w:rPr>
                <w:rFonts w:ascii="inherit" w:eastAsia="Times New Roman" w:hAnsi="inherit" w:cs="Times New Roman"/>
                <w:color w:val="222222"/>
                <w:kern w:val="0"/>
                <w:sz w:val="20"/>
                <w:szCs w:val="20"/>
              </w:rPr>
              <w:t> instance)</w:t>
            </w:r>
          </w:p>
        </w:tc>
      </w:tr>
      <w:tr w:rsidR="00EF3588" w:rsidRPr="0089371F" w14:paraId="4936051C" w14:textId="77777777" w:rsidTr="00AA66C3">
        <w:trPr>
          <w:trHeight w:val="547"/>
        </w:trPr>
        <w:tc>
          <w:tcPr>
            <w:tcW w:w="1277" w:type="dxa"/>
          </w:tcPr>
          <w:p w14:paraId="237E22DE" w14:textId="77777777" w:rsidR="00A970AD" w:rsidRPr="00EF3588" w:rsidRDefault="00A970AD" w:rsidP="00AC138C">
            <w:pPr>
              <w:rPr>
                <w:sz w:val="20"/>
                <w:szCs w:val="20"/>
              </w:rPr>
            </w:pPr>
            <w:r w:rsidRPr="00EF3588">
              <w:rPr>
                <w:rFonts w:ascii="Helvetica Neue" w:hAnsi="Helvetica Neue" w:cs="Times New Roman" w:hint="eastAsia"/>
                <w:color w:val="222222"/>
                <w:kern w:val="0"/>
                <w:sz w:val="20"/>
                <w:szCs w:val="20"/>
              </w:rPr>
              <w:t>2013</w:t>
            </w:r>
          </w:p>
        </w:tc>
        <w:tc>
          <w:tcPr>
            <w:tcW w:w="1559" w:type="dxa"/>
          </w:tcPr>
          <w:p w14:paraId="390C56EC" w14:textId="77777777" w:rsidR="00A970AD" w:rsidRPr="00EF3588" w:rsidRDefault="00A970AD" w:rsidP="00AC138C">
            <w:pPr>
              <w:widowControl/>
              <w:spacing w:before="100" w:beforeAutospacing="1" w:after="198"/>
              <w:jc w:val="left"/>
              <w:rPr>
                <w:rFonts w:ascii="Helvetica Neue" w:hAnsi="Helvetica Neue" w:cs="Times New Roman"/>
                <w:color w:val="222222"/>
                <w:kern w:val="0"/>
                <w:sz w:val="20"/>
                <w:szCs w:val="20"/>
              </w:rPr>
            </w:pPr>
            <w:r w:rsidRPr="00EF3588">
              <w:rPr>
                <w:rFonts w:ascii="Helvetica Neue" w:hAnsi="Helvetica Neue" w:cs="Times New Roman"/>
                <w:color w:val="222222"/>
                <w:kern w:val="0"/>
                <w:sz w:val="20"/>
                <w:szCs w:val="20"/>
              </w:rPr>
              <w:t>2139</w:t>
            </w:r>
          </w:p>
          <w:p w14:paraId="296F5F06" w14:textId="77777777" w:rsidR="00A970AD" w:rsidRPr="00EF3588" w:rsidRDefault="00A970AD" w:rsidP="00AC138C">
            <w:pPr>
              <w:rPr>
                <w:sz w:val="20"/>
                <w:szCs w:val="20"/>
              </w:rPr>
            </w:pPr>
            <w:r w:rsidRPr="00EF3588">
              <w:rPr>
                <w:rFonts w:ascii="Helvetica Neue" w:hAnsi="Helvetica Neue" w:cs="Times New Roman"/>
                <w:color w:val="222222"/>
                <w:kern w:val="0"/>
                <w:sz w:val="20"/>
                <w:szCs w:val="20"/>
              </w:rPr>
              <w:t>(1051 foreign)</w:t>
            </w:r>
          </w:p>
        </w:tc>
        <w:tc>
          <w:tcPr>
            <w:tcW w:w="1559" w:type="dxa"/>
          </w:tcPr>
          <w:p w14:paraId="309D2101" w14:textId="77777777" w:rsidR="00A970AD" w:rsidRPr="00EF3588" w:rsidRDefault="00A970AD" w:rsidP="00AC138C">
            <w:pPr>
              <w:rPr>
                <w:sz w:val="20"/>
                <w:szCs w:val="20"/>
              </w:rPr>
            </w:pPr>
            <w:r w:rsidRPr="00EF3588">
              <w:rPr>
                <w:rFonts w:hint="eastAsia"/>
                <w:sz w:val="20"/>
                <w:szCs w:val="20"/>
              </w:rPr>
              <w:t>2014</w:t>
            </w:r>
          </w:p>
        </w:tc>
        <w:tc>
          <w:tcPr>
            <w:tcW w:w="1418" w:type="dxa"/>
          </w:tcPr>
          <w:p w14:paraId="1707E334" w14:textId="77777777" w:rsidR="00A970AD" w:rsidRPr="00EF3588" w:rsidRDefault="00A970AD" w:rsidP="00AC138C">
            <w:pPr>
              <w:rPr>
                <w:sz w:val="20"/>
                <w:szCs w:val="20"/>
              </w:rPr>
            </w:pPr>
            <w:r w:rsidRPr="00EF3588">
              <w:rPr>
                <w:rFonts w:hint="eastAsia"/>
                <w:sz w:val="20"/>
                <w:szCs w:val="20"/>
              </w:rPr>
              <w:t>353</w:t>
            </w:r>
          </w:p>
        </w:tc>
        <w:tc>
          <w:tcPr>
            <w:tcW w:w="1559" w:type="dxa"/>
          </w:tcPr>
          <w:p w14:paraId="24A41271" w14:textId="77777777" w:rsidR="00A970AD" w:rsidRPr="00EF3588" w:rsidRDefault="00A970AD" w:rsidP="00AC138C">
            <w:pPr>
              <w:rPr>
                <w:sz w:val="20"/>
                <w:szCs w:val="20"/>
              </w:rPr>
            </w:pPr>
            <w:r w:rsidRPr="00EF3588">
              <w:rPr>
                <w:sz w:val="20"/>
                <w:szCs w:val="20"/>
              </w:rPr>
              <w:t>1030(528 foreign)</w:t>
            </w:r>
          </w:p>
        </w:tc>
        <w:tc>
          <w:tcPr>
            <w:tcW w:w="1559" w:type="dxa"/>
          </w:tcPr>
          <w:p w14:paraId="456436A4" w14:textId="77777777" w:rsidR="00A970AD" w:rsidRPr="00EF3588" w:rsidRDefault="00A970AD" w:rsidP="00AC138C">
            <w:pPr>
              <w:rPr>
                <w:sz w:val="20"/>
                <w:szCs w:val="20"/>
              </w:rPr>
            </w:pPr>
            <w:r w:rsidRPr="00EF3588">
              <w:rPr>
                <w:rFonts w:hint="eastAsia"/>
                <w:sz w:val="20"/>
                <w:szCs w:val="20"/>
              </w:rPr>
              <w:t>1050</w:t>
            </w:r>
          </w:p>
        </w:tc>
        <w:tc>
          <w:tcPr>
            <w:tcW w:w="1560" w:type="dxa"/>
          </w:tcPr>
          <w:p w14:paraId="30911742" w14:textId="77777777" w:rsidR="00A970AD" w:rsidRPr="00EF3588" w:rsidRDefault="00A970AD" w:rsidP="00AC138C">
            <w:pPr>
              <w:rPr>
                <w:sz w:val="20"/>
                <w:szCs w:val="20"/>
              </w:rPr>
            </w:pPr>
            <w:r w:rsidRPr="00EF3588">
              <w:rPr>
                <w:rFonts w:hint="eastAsia"/>
                <w:sz w:val="20"/>
                <w:szCs w:val="20"/>
              </w:rPr>
              <w:t>277</w:t>
            </w:r>
          </w:p>
        </w:tc>
      </w:tr>
      <w:tr w:rsidR="00EF3588" w:rsidRPr="0089371F" w14:paraId="5DC333C9" w14:textId="77777777" w:rsidTr="00AA66C3">
        <w:trPr>
          <w:trHeight w:val="547"/>
        </w:trPr>
        <w:tc>
          <w:tcPr>
            <w:tcW w:w="1277" w:type="dxa"/>
          </w:tcPr>
          <w:p w14:paraId="386EDD9C" w14:textId="77777777" w:rsidR="00A970AD" w:rsidRPr="00EF3588" w:rsidRDefault="00A970AD" w:rsidP="00AC138C">
            <w:pPr>
              <w:widowControl/>
              <w:spacing w:before="100" w:beforeAutospacing="1" w:after="198"/>
              <w:jc w:val="left"/>
              <w:rPr>
                <w:rFonts w:ascii="Helvetica Neue" w:hAnsi="Helvetica Neue" w:cs="Times New Roman"/>
                <w:color w:val="222222"/>
                <w:kern w:val="0"/>
                <w:sz w:val="20"/>
                <w:szCs w:val="20"/>
              </w:rPr>
            </w:pPr>
            <w:r w:rsidRPr="00EF3588">
              <w:rPr>
                <w:rFonts w:ascii="Helvetica Neue" w:hAnsi="Helvetica Neue" w:cs="Times New Roman"/>
                <w:color w:val="222222"/>
                <w:kern w:val="0"/>
                <w:sz w:val="20"/>
                <w:szCs w:val="20"/>
              </w:rPr>
              <w:t>2014</w:t>
            </w:r>
          </w:p>
          <w:p w14:paraId="10388CBB" w14:textId="77777777" w:rsidR="00A970AD" w:rsidRPr="00EF3588" w:rsidRDefault="00A970AD" w:rsidP="00AC138C">
            <w:pPr>
              <w:rPr>
                <w:sz w:val="20"/>
                <w:szCs w:val="20"/>
              </w:rPr>
            </w:pPr>
            <w:r w:rsidRPr="00EF3588">
              <w:rPr>
                <w:rFonts w:ascii="Helvetica Neue" w:hAnsi="Helvetica Neue" w:cs="Times New Roman"/>
                <w:color w:val="222222"/>
                <w:kern w:val="0"/>
                <w:sz w:val="20"/>
                <w:szCs w:val="20"/>
              </w:rPr>
              <w:t>(Jan-Sep)</w:t>
            </w:r>
          </w:p>
        </w:tc>
        <w:tc>
          <w:tcPr>
            <w:tcW w:w="1559" w:type="dxa"/>
          </w:tcPr>
          <w:p w14:paraId="647B9A5A" w14:textId="77777777" w:rsidR="00A970AD" w:rsidRPr="00EF3588" w:rsidRDefault="00A970AD" w:rsidP="00AC138C">
            <w:pPr>
              <w:rPr>
                <w:sz w:val="20"/>
                <w:szCs w:val="20"/>
              </w:rPr>
            </w:pPr>
            <w:r w:rsidRPr="00EF3588">
              <w:rPr>
                <w:rFonts w:hint="eastAsia"/>
                <w:sz w:val="20"/>
                <w:szCs w:val="20"/>
              </w:rPr>
              <w:t>7749</w:t>
            </w:r>
          </w:p>
        </w:tc>
        <w:tc>
          <w:tcPr>
            <w:tcW w:w="1559" w:type="dxa"/>
          </w:tcPr>
          <w:p w14:paraId="74DD6647" w14:textId="77777777" w:rsidR="00A970AD" w:rsidRPr="00EF3588" w:rsidRDefault="00A970AD" w:rsidP="00AC138C">
            <w:pPr>
              <w:rPr>
                <w:sz w:val="20"/>
                <w:szCs w:val="20"/>
              </w:rPr>
            </w:pPr>
            <w:r w:rsidRPr="00EF3588">
              <w:rPr>
                <w:rFonts w:hint="eastAsia"/>
                <w:sz w:val="20"/>
                <w:szCs w:val="20"/>
              </w:rPr>
              <w:t>3632</w:t>
            </w:r>
          </w:p>
        </w:tc>
        <w:tc>
          <w:tcPr>
            <w:tcW w:w="1418" w:type="dxa"/>
          </w:tcPr>
          <w:p w14:paraId="6CA9AE19" w14:textId="77777777" w:rsidR="00A970AD" w:rsidRPr="00EF3588" w:rsidRDefault="00A970AD" w:rsidP="00AC138C">
            <w:pPr>
              <w:rPr>
                <w:sz w:val="20"/>
                <w:szCs w:val="20"/>
              </w:rPr>
            </w:pPr>
            <w:r w:rsidRPr="00EF3588">
              <w:rPr>
                <w:rFonts w:hint="eastAsia"/>
                <w:sz w:val="20"/>
                <w:szCs w:val="20"/>
              </w:rPr>
              <w:t>618</w:t>
            </w:r>
          </w:p>
        </w:tc>
        <w:tc>
          <w:tcPr>
            <w:tcW w:w="1559" w:type="dxa"/>
          </w:tcPr>
          <w:p w14:paraId="4488DC1C" w14:textId="77777777" w:rsidR="00A970AD" w:rsidRPr="00EF3588" w:rsidRDefault="00A970AD" w:rsidP="00AC138C">
            <w:pPr>
              <w:rPr>
                <w:sz w:val="20"/>
                <w:szCs w:val="20"/>
              </w:rPr>
            </w:pPr>
            <w:r w:rsidRPr="00EF3588">
              <w:rPr>
                <w:rFonts w:hint="eastAsia"/>
                <w:sz w:val="20"/>
                <w:szCs w:val="20"/>
              </w:rPr>
              <w:t>1421</w:t>
            </w:r>
          </w:p>
        </w:tc>
        <w:tc>
          <w:tcPr>
            <w:tcW w:w="1559" w:type="dxa"/>
          </w:tcPr>
          <w:p w14:paraId="5170EEB8" w14:textId="77777777" w:rsidR="00A970AD" w:rsidRPr="00EF3588" w:rsidRDefault="00A970AD" w:rsidP="00AC138C">
            <w:pPr>
              <w:rPr>
                <w:sz w:val="20"/>
                <w:szCs w:val="20"/>
              </w:rPr>
            </w:pPr>
            <w:r w:rsidRPr="00EF3588">
              <w:rPr>
                <w:rFonts w:hint="eastAsia"/>
                <w:sz w:val="20"/>
                <w:szCs w:val="20"/>
              </w:rPr>
              <w:t>905</w:t>
            </w:r>
          </w:p>
        </w:tc>
        <w:tc>
          <w:tcPr>
            <w:tcW w:w="1560" w:type="dxa"/>
          </w:tcPr>
          <w:p w14:paraId="7482ECCC" w14:textId="77777777" w:rsidR="00A970AD" w:rsidRPr="00EF3588" w:rsidRDefault="00A970AD" w:rsidP="00AC138C">
            <w:pPr>
              <w:rPr>
                <w:sz w:val="20"/>
                <w:szCs w:val="20"/>
              </w:rPr>
            </w:pPr>
            <w:r w:rsidRPr="00EF3588">
              <w:rPr>
                <w:rFonts w:hint="eastAsia"/>
                <w:sz w:val="20"/>
                <w:szCs w:val="20"/>
              </w:rPr>
              <w:t>236</w:t>
            </w:r>
          </w:p>
        </w:tc>
      </w:tr>
    </w:tbl>
    <w:p w14:paraId="5D2151D0" w14:textId="77777777" w:rsidR="00EF0A47" w:rsidRPr="00A970AD" w:rsidRDefault="00EF0A47" w:rsidP="00A970AD"/>
    <w:sectPr w:rsidR="00EF0A47" w:rsidRPr="00A970AD" w:rsidSect="00747224">
      <w:pgSz w:w="12240" w:h="15840"/>
      <w:pgMar w:top="1440" w:right="1800" w:bottom="1440" w:left="1800" w:header="720" w:footer="72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inherit">
    <w:altName w:val="Athelas Bold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18F"/>
    <w:rsid w:val="002A118F"/>
    <w:rsid w:val="003350C1"/>
    <w:rsid w:val="0034471D"/>
    <w:rsid w:val="003948A8"/>
    <w:rsid w:val="003C1ABB"/>
    <w:rsid w:val="00535FAC"/>
    <w:rsid w:val="0055060E"/>
    <w:rsid w:val="005B1425"/>
    <w:rsid w:val="005B3B2B"/>
    <w:rsid w:val="006D513D"/>
    <w:rsid w:val="007241E4"/>
    <w:rsid w:val="007268DB"/>
    <w:rsid w:val="00747224"/>
    <w:rsid w:val="00747579"/>
    <w:rsid w:val="007E06DB"/>
    <w:rsid w:val="007E525F"/>
    <w:rsid w:val="00852DF2"/>
    <w:rsid w:val="008C3A73"/>
    <w:rsid w:val="009409B8"/>
    <w:rsid w:val="00951CAD"/>
    <w:rsid w:val="00964689"/>
    <w:rsid w:val="00A970AD"/>
    <w:rsid w:val="00AA66C3"/>
    <w:rsid w:val="00B621C9"/>
    <w:rsid w:val="00C35BF8"/>
    <w:rsid w:val="00CC53A7"/>
    <w:rsid w:val="00E428B2"/>
    <w:rsid w:val="00EC4E06"/>
    <w:rsid w:val="00EF0A47"/>
    <w:rsid w:val="00EF3588"/>
    <w:rsid w:val="00F13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F14B45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0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A118F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2A11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a0"/>
    <w:uiPriority w:val="99"/>
    <w:semiHidden/>
    <w:unhideWhenUsed/>
    <w:rsid w:val="0034471D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a0"/>
    <w:rsid w:val="00C35BF8"/>
  </w:style>
  <w:style w:type="paragraph" w:styleId="a5">
    <w:name w:val="Normal (Web)"/>
    <w:basedOn w:val="a"/>
    <w:uiPriority w:val="99"/>
    <w:unhideWhenUsed/>
    <w:rsid w:val="00EF0A47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</w:rPr>
  </w:style>
  <w:style w:type="character" w:styleId="a6">
    <w:name w:val="Strong"/>
    <w:basedOn w:val="a0"/>
    <w:uiPriority w:val="22"/>
    <w:qFormat/>
    <w:rsid w:val="00EF0A47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0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A118F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2A11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a0"/>
    <w:uiPriority w:val="99"/>
    <w:semiHidden/>
    <w:unhideWhenUsed/>
    <w:rsid w:val="0034471D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a0"/>
    <w:rsid w:val="00C35BF8"/>
  </w:style>
  <w:style w:type="paragraph" w:styleId="a5">
    <w:name w:val="Normal (Web)"/>
    <w:basedOn w:val="a"/>
    <w:uiPriority w:val="99"/>
    <w:unhideWhenUsed/>
    <w:rsid w:val="00EF0A47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</w:rPr>
  </w:style>
  <w:style w:type="character" w:styleId="a6">
    <w:name w:val="Strong"/>
    <w:basedOn w:val="a0"/>
    <w:uiPriority w:val="22"/>
    <w:qFormat/>
    <w:rsid w:val="00EF0A4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60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92</Words>
  <Characters>527</Characters>
  <Application>Microsoft Macintosh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YAO YAO</dc:creator>
  <cp:keywords/>
  <dc:description/>
  <cp:lastModifiedBy>YAO YAO</cp:lastModifiedBy>
  <cp:revision>22</cp:revision>
  <dcterms:created xsi:type="dcterms:W3CDTF">2014-12-02T07:10:00Z</dcterms:created>
  <dcterms:modified xsi:type="dcterms:W3CDTF">2014-12-11T20:00:00Z</dcterms:modified>
</cp:coreProperties>
</file>