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646" w:rsidRPr="005A60DB" w:rsidRDefault="0064169B" w:rsidP="00654D85">
      <w:pPr>
        <w:pStyle w:val="Heading1"/>
        <w:jc w:val="center"/>
        <w:rPr>
          <w:rFonts w:ascii="Times New Roman" w:eastAsiaTheme="minorEastAsia" w:hAnsi="Times New Roman"/>
          <w:sz w:val="24"/>
          <w:szCs w:val="24"/>
        </w:rPr>
      </w:pPr>
      <w:bookmarkStart w:id="0" w:name="_Toc337713898"/>
      <w:bookmarkStart w:id="1" w:name="_Toc338060306"/>
      <w:bookmarkStart w:id="2" w:name="_Toc338079255"/>
      <w:bookmarkStart w:id="3" w:name="_Toc343552962"/>
      <w:bookmarkStart w:id="4" w:name="_Toc343555192"/>
      <w:bookmarkStart w:id="5" w:name="_Toc350508068"/>
      <w:bookmarkStart w:id="6" w:name="_GoBack"/>
      <w:bookmarkEnd w:id="6"/>
      <w:r>
        <w:rPr>
          <w:rFonts w:ascii="Times New Roman" w:eastAsiaTheme="minorEastAsia" w:hAnsiTheme="minorEastAsia" w:hint="eastAsia"/>
          <w:sz w:val="24"/>
          <w:szCs w:val="24"/>
        </w:rPr>
        <w:t>品保委</w:t>
      </w:r>
      <w:r w:rsidR="009C4EBC">
        <w:rPr>
          <w:rFonts w:ascii="Times New Roman" w:eastAsiaTheme="minorEastAsia" w:hAnsiTheme="minorEastAsia" w:hint="eastAsia"/>
          <w:sz w:val="24"/>
          <w:szCs w:val="24"/>
        </w:rPr>
        <w:t>对</w:t>
      </w:r>
      <w:r w:rsidR="005A60DB">
        <w:rPr>
          <w:rFonts w:ascii="Times New Roman" w:eastAsiaTheme="minorEastAsia" w:hAnsiTheme="minorEastAsia" w:hint="eastAsia"/>
          <w:sz w:val="24"/>
          <w:szCs w:val="24"/>
        </w:rPr>
        <w:t>修改</w:t>
      </w:r>
      <w:r w:rsidR="00427DB7">
        <w:rPr>
          <w:rFonts w:ascii="Times New Roman" w:eastAsiaTheme="minorEastAsia" w:hAnsiTheme="minorEastAsia" w:hint="eastAsia"/>
          <w:sz w:val="24"/>
          <w:szCs w:val="24"/>
        </w:rPr>
        <w:t>《</w:t>
      </w:r>
      <w:r w:rsidR="005A60DB">
        <w:rPr>
          <w:rFonts w:ascii="Times New Roman" w:eastAsiaTheme="minorEastAsia" w:hAnsiTheme="minorEastAsia" w:hint="eastAsia"/>
          <w:sz w:val="24"/>
          <w:szCs w:val="24"/>
        </w:rPr>
        <w:t>技术进出口条例</w:t>
      </w:r>
      <w:r w:rsidR="00427DB7">
        <w:rPr>
          <w:rFonts w:ascii="Times New Roman" w:eastAsiaTheme="minorEastAsia" w:hAnsiTheme="minorEastAsia" w:hint="eastAsia"/>
          <w:sz w:val="24"/>
          <w:szCs w:val="24"/>
        </w:rPr>
        <w:t>》</w:t>
      </w:r>
      <w:r w:rsidR="005A60DB">
        <w:rPr>
          <w:rFonts w:ascii="Times New Roman" w:eastAsiaTheme="minorEastAsia" w:hAnsiTheme="minorEastAsia" w:hint="eastAsia"/>
          <w:sz w:val="24"/>
          <w:szCs w:val="24"/>
        </w:rPr>
        <w:t>及相关规定的</w:t>
      </w:r>
      <w:r w:rsidR="009C4EBC">
        <w:rPr>
          <w:rFonts w:ascii="Times New Roman" w:eastAsiaTheme="minorEastAsia" w:hAnsiTheme="minorEastAsia" w:hint="eastAsia"/>
          <w:sz w:val="24"/>
          <w:szCs w:val="24"/>
        </w:rPr>
        <w:t>意见和建议</w:t>
      </w:r>
    </w:p>
    <w:p w:rsidR="00591C83" w:rsidRPr="005A60DB" w:rsidRDefault="00591C83" w:rsidP="00654D85">
      <w:pPr>
        <w:pStyle w:val="Heading2"/>
        <w:rPr>
          <w:rFonts w:ascii="Times New Roman" w:eastAsiaTheme="minorEastAsia" w:hAnsi="Times New Roman"/>
          <w:sz w:val="24"/>
          <w:szCs w:val="24"/>
        </w:rPr>
      </w:pPr>
      <w:r w:rsidRPr="005A60DB">
        <w:rPr>
          <w:rFonts w:ascii="Times New Roman" w:eastAsiaTheme="minorEastAsia" w:hAnsiTheme="minorEastAsia"/>
          <w:sz w:val="24"/>
          <w:szCs w:val="24"/>
        </w:rPr>
        <w:t>一、明确技术进出口的类型</w:t>
      </w:r>
      <w:bookmarkEnd w:id="0"/>
      <w:bookmarkEnd w:id="1"/>
      <w:bookmarkEnd w:id="2"/>
      <w:bookmarkEnd w:id="3"/>
      <w:bookmarkEnd w:id="4"/>
      <w:bookmarkEnd w:id="5"/>
    </w:p>
    <w:p w:rsidR="00591C83" w:rsidRPr="005A60DB" w:rsidRDefault="00121CED" w:rsidP="005A60DB">
      <w:pPr>
        <w:ind w:firstLineChars="200" w:firstLine="480"/>
        <w:rPr>
          <w:rFonts w:ascii="Times New Roman" w:eastAsiaTheme="minorEastAsia" w:hAnsi="Times New Roman"/>
          <w:sz w:val="24"/>
          <w:szCs w:val="24"/>
        </w:rPr>
      </w:pPr>
      <w:r>
        <w:rPr>
          <w:rFonts w:ascii="Times New Roman" w:eastAsiaTheme="minorEastAsia" w:hAnsiTheme="minorEastAsia" w:hint="eastAsia"/>
          <w:sz w:val="24"/>
          <w:szCs w:val="24"/>
        </w:rPr>
        <w:t>目前的技术进出口条例未对技术作出清晰的界定，</w:t>
      </w:r>
      <w:r w:rsidR="00247EDC">
        <w:rPr>
          <w:rFonts w:ascii="Times New Roman" w:eastAsiaTheme="minorEastAsia" w:hAnsiTheme="minorEastAsia" w:hint="eastAsia"/>
          <w:sz w:val="24"/>
          <w:szCs w:val="24"/>
        </w:rPr>
        <w:t>条例</w:t>
      </w:r>
      <w:r w:rsidR="004943A0">
        <w:rPr>
          <w:rFonts w:ascii="Times New Roman" w:eastAsiaTheme="minorEastAsia" w:hAnsiTheme="minorEastAsia" w:hint="eastAsia"/>
          <w:sz w:val="24"/>
          <w:szCs w:val="24"/>
        </w:rPr>
        <w:t>仅列明</w:t>
      </w:r>
      <w:r w:rsidR="00247EDC" w:rsidRPr="00247EDC">
        <w:rPr>
          <w:rFonts w:ascii="Times New Roman" w:eastAsiaTheme="minorEastAsia" w:hAnsiTheme="minorEastAsia" w:hint="eastAsia"/>
          <w:sz w:val="24"/>
          <w:szCs w:val="24"/>
        </w:rPr>
        <w:t>“专利权转让、专利申请权转让、专利实施许可、技术秘密转让、技术服务”等形式</w:t>
      </w:r>
      <w:r w:rsidR="00F72E34">
        <w:rPr>
          <w:rFonts w:ascii="Times New Roman" w:eastAsiaTheme="minorEastAsia" w:hAnsiTheme="minorEastAsia" w:hint="eastAsia"/>
          <w:sz w:val="24"/>
          <w:szCs w:val="24"/>
        </w:rPr>
        <w:t>，这种情况导致</w:t>
      </w:r>
      <w:r w:rsidR="008F2E71">
        <w:rPr>
          <w:rFonts w:ascii="Times New Roman" w:eastAsiaTheme="minorEastAsia" w:hAnsiTheme="minorEastAsia" w:hint="eastAsia"/>
          <w:sz w:val="24"/>
          <w:szCs w:val="24"/>
        </w:rPr>
        <w:t>行政相对人及</w:t>
      </w:r>
      <w:r w:rsidR="004943A0">
        <w:rPr>
          <w:rFonts w:ascii="Times New Roman" w:eastAsiaTheme="minorEastAsia" w:hAnsiTheme="minorEastAsia" w:hint="eastAsia"/>
          <w:sz w:val="24"/>
          <w:szCs w:val="24"/>
        </w:rPr>
        <w:t>各地</w:t>
      </w:r>
      <w:r w:rsidR="00F72E34">
        <w:rPr>
          <w:rFonts w:ascii="Times New Roman" w:eastAsiaTheme="minorEastAsia" w:hAnsiTheme="minorEastAsia" w:hint="eastAsia"/>
          <w:sz w:val="24"/>
          <w:szCs w:val="24"/>
        </w:rPr>
        <w:t>相关部门</w:t>
      </w:r>
      <w:r w:rsidR="0087463B">
        <w:rPr>
          <w:rFonts w:ascii="Times New Roman" w:eastAsiaTheme="minorEastAsia" w:hAnsiTheme="minorEastAsia" w:hint="eastAsia"/>
          <w:sz w:val="24"/>
          <w:szCs w:val="24"/>
        </w:rPr>
        <w:t>对</w:t>
      </w:r>
      <w:r w:rsidR="00532CCA">
        <w:rPr>
          <w:rFonts w:ascii="Times New Roman" w:eastAsiaTheme="minorEastAsia" w:hAnsiTheme="minorEastAsia" w:hint="eastAsia"/>
          <w:sz w:val="24"/>
          <w:szCs w:val="24"/>
        </w:rPr>
        <w:t>一些</w:t>
      </w:r>
      <w:r w:rsidR="004943A0">
        <w:rPr>
          <w:rFonts w:ascii="Times New Roman" w:eastAsiaTheme="minorEastAsia" w:hAnsiTheme="minorEastAsia" w:hint="eastAsia"/>
          <w:sz w:val="24"/>
          <w:szCs w:val="24"/>
        </w:rPr>
        <w:t>特定</w:t>
      </w:r>
      <w:r w:rsidR="0087463B">
        <w:rPr>
          <w:rFonts w:ascii="Times New Roman" w:eastAsiaTheme="minorEastAsia" w:hAnsiTheme="minorEastAsia" w:hint="eastAsia"/>
          <w:sz w:val="24"/>
          <w:szCs w:val="24"/>
        </w:rPr>
        <w:t>对象</w:t>
      </w:r>
      <w:r w:rsidR="006542F9">
        <w:rPr>
          <w:rFonts w:ascii="Times New Roman" w:eastAsiaTheme="minorEastAsia" w:hAnsiTheme="minorEastAsia" w:hint="eastAsia"/>
          <w:sz w:val="24"/>
          <w:szCs w:val="24"/>
        </w:rPr>
        <w:t>是否</w:t>
      </w:r>
      <w:r w:rsidR="004943A0">
        <w:rPr>
          <w:rFonts w:ascii="Times New Roman" w:eastAsiaTheme="minorEastAsia" w:hAnsiTheme="minorEastAsia" w:hint="eastAsia"/>
          <w:sz w:val="24"/>
          <w:szCs w:val="24"/>
        </w:rPr>
        <w:t>应</w:t>
      </w:r>
      <w:r w:rsidR="006542F9">
        <w:rPr>
          <w:rFonts w:ascii="Times New Roman" w:eastAsiaTheme="minorEastAsia" w:hAnsiTheme="minorEastAsia" w:hint="eastAsia"/>
          <w:sz w:val="24"/>
          <w:szCs w:val="24"/>
        </w:rPr>
        <w:t>作为本条例</w:t>
      </w:r>
      <w:r w:rsidR="00830BE2">
        <w:rPr>
          <w:rFonts w:ascii="Times New Roman" w:eastAsiaTheme="minorEastAsia" w:hAnsiTheme="minorEastAsia" w:hint="eastAsia"/>
          <w:sz w:val="24"/>
          <w:szCs w:val="24"/>
        </w:rPr>
        <w:t>下的</w:t>
      </w:r>
      <w:r w:rsidR="006542F9">
        <w:rPr>
          <w:rFonts w:ascii="Times New Roman" w:eastAsiaTheme="minorEastAsia" w:hAnsiTheme="minorEastAsia" w:hint="eastAsia"/>
          <w:sz w:val="24"/>
          <w:szCs w:val="24"/>
        </w:rPr>
        <w:t>技术</w:t>
      </w:r>
      <w:r w:rsidR="004943A0">
        <w:rPr>
          <w:rFonts w:ascii="Times New Roman" w:eastAsiaTheme="minorEastAsia" w:hAnsiTheme="minorEastAsia" w:hint="eastAsia"/>
          <w:sz w:val="24"/>
          <w:szCs w:val="24"/>
        </w:rPr>
        <w:t>予以规制管理存在不同的认识</w:t>
      </w:r>
      <w:r w:rsidR="00F72E34">
        <w:rPr>
          <w:rFonts w:ascii="Times New Roman" w:eastAsiaTheme="minorEastAsia" w:hAnsiTheme="minorEastAsia" w:hint="eastAsia"/>
          <w:sz w:val="24"/>
          <w:szCs w:val="24"/>
        </w:rPr>
        <w:t>，</w:t>
      </w:r>
      <w:r w:rsidR="00432019">
        <w:rPr>
          <w:rFonts w:ascii="Times New Roman" w:eastAsiaTheme="minorEastAsia" w:hAnsiTheme="minorEastAsia" w:hint="eastAsia"/>
          <w:sz w:val="24"/>
          <w:szCs w:val="24"/>
        </w:rPr>
        <w:t>从而</w:t>
      </w:r>
      <w:r w:rsidR="00D84D38">
        <w:rPr>
          <w:rFonts w:ascii="Times New Roman" w:eastAsiaTheme="minorEastAsia" w:hAnsiTheme="minorEastAsia" w:hint="eastAsia"/>
          <w:sz w:val="24"/>
          <w:szCs w:val="24"/>
        </w:rPr>
        <w:t>不但</w:t>
      </w:r>
      <w:r w:rsidR="00432019">
        <w:rPr>
          <w:rFonts w:ascii="Times New Roman" w:eastAsiaTheme="minorEastAsia" w:hAnsiTheme="minorEastAsia" w:hint="eastAsia"/>
          <w:sz w:val="24"/>
          <w:szCs w:val="24"/>
        </w:rPr>
        <w:t>造成各地</w:t>
      </w:r>
      <w:r w:rsidR="00D84D38">
        <w:rPr>
          <w:rFonts w:ascii="Times New Roman" w:eastAsiaTheme="minorEastAsia" w:hAnsiTheme="minorEastAsia" w:hint="eastAsia"/>
          <w:sz w:val="24"/>
          <w:szCs w:val="24"/>
        </w:rPr>
        <w:t>对技术进出口管理的实践不一致，也让行政相对人</w:t>
      </w:r>
      <w:r w:rsidR="00980E30">
        <w:rPr>
          <w:rFonts w:ascii="Times New Roman" w:eastAsiaTheme="minorEastAsia" w:hAnsiTheme="minorEastAsia" w:hint="eastAsia"/>
          <w:sz w:val="24"/>
          <w:szCs w:val="24"/>
        </w:rPr>
        <w:t>无法预知自己相关行为的合规风险</w:t>
      </w:r>
      <w:r w:rsidR="00432019">
        <w:rPr>
          <w:rFonts w:ascii="Times New Roman" w:eastAsiaTheme="minorEastAsia" w:hAnsiTheme="minorEastAsia" w:hint="eastAsia"/>
          <w:sz w:val="24"/>
          <w:szCs w:val="24"/>
        </w:rPr>
        <w:t>。</w:t>
      </w:r>
      <w:r w:rsidR="00B64ADB">
        <w:rPr>
          <w:rFonts w:ascii="Times New Roman" w:eastAsiaTheme="minorEastAsia" w:hAnsiTheme="minorEastAsia" w:hint="eastAsia"/>
          <w:sz w:val="24"/>
          <w:szCs w:val="24"/>
        </w:rPr>
        <w:t>因此，统一清晰界定“技术”对统一执法及指导行政相对方</w:t>
      </w:r>
      <w:r w:rsidR="00DE6CCC">
        <w:rPr>
          <w:rFonts w:ascii="Times New Roman" w:eastAsiaTheme="minorEastAsia" w:hAnsiTheme="minorEastAsia" w:hint="eastAsia"/>
          <w:sz w:val="24"/>
          <w:szCs w:val="24"/>
        </w:rPr>
        <w:t>行为合规有着重要的现实意义。</w:t>
      </w:r>
      <w:r w:rsidR="003F3894">
        <w:rPr>
          <w:rFonts w:ascii="Times New Roman" w:eastAsiaTheme="minorEastAsia" w:hAnsiTheme="minorEastAsia" w:hint="eastAsia"/>
          <w:sz w:val="24"/>
          <w:szCs w:val="24"/>
        </w:rPr>
        <w:t>鉴于无论是从技术管制的目的，还是从其他法规（如专利法）对技术的定义来看，</w:t>
      </w:r>
      <w:r w:rsidR="0039336B">
        <w:rPr>
          <w:rFonts w:ascii="Times New Roman" w:eastAsiaTheme="minorEastAsia" w:hAnsiTheme="minorEastAsia" w:hint="eastAsia"/>
          <w:sz w:val="24"/>
          <w:szCs w:val="24"/>
        </w:rPr>
        <w:t>将本条例下技术的范围限定在</w:t>
      </w:r>
      <w:r w:rsidR="007D2317">
        <w:rPr>
          <w:rFonts w:ascii="Times New Roman" w:eastAsiaTheme="minorEastAsia" w:hAnsiTheme="minorEastAsia" w:hint="eastAsia"/>
          <w:sz w:val="24"/>
          <w:szCs w:val="24"/>
        </w:rPr>
        <w:t>“解决特定技术问题的技术方案”应是最符合立法目的，且与现规定及实践最衔接匹配的。理由</w:t>
      </w:r>
      <w:r w:rsidR="00956B7E">
        <w:rPr>
          <w:rFonts w:ascii="Times New Roman" w:eastAsiaTheme="minorEastAsia" w:hAnsiTheme="minorEastAsia" w:hint="eastAsia"/>
          <w:sz w:val="24"/>
          <w:szCs w:val="24"/>
        </w:rPr>
        <w:t>如下</w:t>
      </w:r>
      <w:r w:rsidR="007D2317">
        <w:rPr>
          <w:rFonts w:ascii="Times New Roman" w:eastAsiaTheme="minorEastAsia" w:hAnsiTheme="minorEastAsia" w:hint="eastAsia"/>
          <w:sz w:val="24"/>
          <w:szCs w:val="24"/>
        </w:rPr>
        <w:t>：一是</w:t>
      </w:r>
      <w:r w:rsidR="00956B7E">
        <w:rPr>
          <w:rFonts w:ascii="Times New Roman" w:eastAsiaTheme="minorEastAsia" w:hAnsiTheme="minorEastAsia" w:hint="eastAsia"/>
          <w:sz w:val="24"/>
          <w:szCs w:val="24"/>
        </w:rPr>
        <w:t>前述定义下的技术与目前条例中列举的技术形式有着完全相同的实质性特征（即解决技术问题的技术方案），可以看作是对前述列举技术形式的归纳总结；二是目前实践中登记备案管理的绝大多数技术合同中的技术也符合定义的特征，可被前述技术定义所囊括；三</w:t>
      </w:r>
      <w:r w:rsidR="008727A9">
        <w:rPr>
          <w:rFonts w:ascii="Times New Roman" w:eastAsiaTheme="minorEastAsia" w:hAnsiTheme="minorEastAsia" w:hint="eastAsia"/>
          <w:sz w:val="24"/>
          <w:szCs w:val="24"/>
        </w:rPr>
        <w:t>是使用前述定义“技术”，可以将广义范围与技术组成有关的计划、图表、模型、说明性手册、公式、工作技能、培训、数据等不能直接解决技术问题的技术性信息排除在监管之外，从而避免盲目扩大监管范围，造成行政资源和社会浪费（试想一下，如果连一些不具备直接解决技术问题的信息或数据交流都需要备案监管，</w:t>
      </w:r>
      <w:r w:rsidR="00E64C9D">
        <w:rPr>
          <w:rFonts w:ascii="Times New Roman" w:eastAsiaTheme="minorEastAsia" w:hAnsiTheme="minorEastAsia" w:hint="eastAsia"/>
          <w:sz w:val="24"/>
          <w:szCs w:val="24"/>
        </w:rPr>
        <w:t>在目前信息交流如此便利如此频繁的情况下，</w:t>
      </w:r>
      <w:r w:rsidR="00E64C9D" w:rsidRPr="00E64C9D">
        <w:rPr>
          <w:rFonts w:ascii="Times New Roman" w:eastAsiaTheme="minorEastAsia" w:hAnsiTheme="minorEastAsia" w:hint="eastAsia"/>
          <w:sz w:val="24"/>
          <w:szCs w:val="24"/>
        </w:rPr>
        <w:t>相关企业、人员要花多少人力物力来对每一次通过电话或邮件进行的跨境的含技术因子的信息交流主动向主管机关申请备案管理</w:t>
      </w:r>
      <w:r w:rsidR="00E64C9D">
        <w:rPr>
          <w:rFonts w:ascii="Times New Roman" w:eastAsiaTheme="minorEastAsia" w:hAnsiTheme="minorEastAsia" w:hint="eastAsia"/>
          <w:sz w:val="24"/>
          <w:szCs w:val="24"/>
        </w:rPr>
        <w:t>！主管机关又要花多少人力物力来完成如此细致繁重的监管！）。在本条例中采用前述技术定义，一切问题将迎刃而解。</w:t>
      </w:r>
    </w:p>
    <w:p w:rsidR="00591C83" w:rsidRPr="005A60DB" w:rsidRDefault="00591C83" w:rsidP="00654D85">
      <w:pPr>
        <w:pStyle w:val="Heading2"/>
        <w:rPr>
          <w:rFonts w:ascii="Times New Roman" w:eastAsiaTheme="minorEastAsia" w:hAnsi="Times New Roman"/>
          <w:sz w:val="24"/>
          <w:szCs w:val="24"/>
        </w:rPr>
      </w:pPr>
      <w:bookmarkStart w:id="7" w:name="_Toc337713899"/>
      <w:bookmarkStart w:id="8" w:name="_Toc338060307"/>
      <w:bookmarkStart w:id="9" w:name="_Toc338079256"/>
      <w:bookmarkStart w:id="10" w:name="_Toc343552963"/>
      <w:bookmarkStart w:id="11" w:name="_Toc343555193"/>
      <w:bookmarkStart w:id="12" w:name="_Toc350508069"/>
      <w:r w:rsidRPr="005A60DB">
        <w:rPr>
          <w:rFonts w:ascii="Times New Roman" w:eastAsiaTheme="minorEastAsia" w:hAnsiTheme="minorEastAsia"/>
          <w:sz w:val="24"/>
          <w:szCs w:val="24"/>
        </w:rPr>
        <w:t>二、明确</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技术进出口</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的认定标准</w:t>
      </w:r>
      <w:bookmarkEnd w:id="7"/>
      <w:bookmarkEnd w:id="8"/>
      <w:bookmarkEnd w:id="9"/>
      <w:bookmarkEnd w:id="10"/>
      <w:bookmarkEnd w:id="11"/>
      <w:bookmarkEnd w:id="12"/>
    </w:p>
    <w:p w:rsidR="00591C83" w:rsidRPr="005A60DB" w:rsidRDefault="00591C83" w:rsidP="005A60DB">
      <w:pPr>
        <w:ind w:firstLineChars="200" w:firstLine="480"/>
        <w:rPr>
          <w:rFonts w:ascii="Times New Roman" w:eastAsiaTheme="minorEastAsia" w:hAnsi="Times New Roman"/>
          <w:sz w:val="24"/>
          <w:szCs w:val="24"/>
        </w:rPr>
      </w:pPr>
      <w:r w:rsidRPr="005A60DB">
        <w:rPr>
          <w:rFonts w:ascii="Times New Roman" w:eastAsiaTheme="minorEastAsia" w:hAnsiTheme="minorEastAsia"/>
          <w:sz w:val="24"/>
          <w:szCs w:val="24"/>
        </w:rPr>
        <w:t>现有的《条例》</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技术进出口</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的认定标准的规定是</w:t>
      </w:r>
      <w:r w:rsidRPr="005A60DB" w:rsidDel="008F3BCF">
        <w:rPr>
          <w:rFonts w:ascii="Times New Roman" w:eastAsiaTheme="minorEastAsia" w:hAnsi="Times New Roman"/>
          <w:sz w:val="24"/>
          <w:szCs w:val="24"/>
        </w:rPr>
        <w:t xml:space="preserve"> </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跨越国境</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。尽管该规定已经由</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主体标准</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转变为</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行为标准</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，但基于《条例》的立法宗旨，仅有转让或许可行为跨越国界不能成为对合同审查的唯一标准，在实际操作过程中，还必须考虑到技术本身在哪国获得或研发。因此，建议在原条文的基础上增加一款：</w:t>
      </w:r>
      <w:r w:rsidRPr="005A60DB" w:rsidDel="003764C9">
        <w:rPr>
          <w:rFonts w:ascii="Times New Roman" w:eastAsiaTheme="minorEastAsia" w:hAnsi="Times New Roman"/>
          <w:sz w:val="24"/>
          <w:szCs w:val="24"/>
        </w:rPr>
        <w:t xml:space="preserve"> </w:t>
      </w:r>
    </w:p>
    <w:p w:rsidR="00591C83" w:rsidRPr="005A60DB" w:rsidRDefault="00591C83" w:rsidP="005A60DB">
      <w:pPr>
        <w:ind w:firstLineChars="200" w:firstLine="480"/>
        <w:rPr>
          <w:rFonts w:ascii="Times New Roman" w:eastAsiaTheme="minorEastAsia" w:hAnsi="Times New Roman"/>
          <w:sz w:val="24"/>
          <w:szCs w:val="24"/>
        </w:rPr>
      </w:pP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技术进出口</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是指从中华人民共和国境外向中华人民共和国境内，或者从中华人民共和国境内向中华人民共和国境外，通过贸易、投资或者经济技术合作的方式转移技术的行为。</w:t>
      </w:r>
    </w:p>
    <w:p w:rsidR="00591C83" w:rsidRPr="005A60DB" w:rsidRDefault="00591C83" w:rsidP="005A60DB">
      <w:pPr>
        <w:ind w:firstLineChars="200" w:firstLine="480"/>
        <w:rPr>
          <w:rFonts w:ascii="Times New Roman" w:eastAsiaTheme="minorEastAsia" w:hAnsi="Times New Roman"/>
          <w:sz w:val="24"/>
          <w:szCs w:val="24"/>
        </w:rPr>
      </w:pPr>
      <w:r w:rsidRPr="005A60DB">
        <w:rPr>
          <w:rFonts w:ascii="Times New Roman" w:eastAsiaTheme="minorEastAsia" w:hAnsiTheme="minorEastAsia"/>
          <w:sz w:val="24"/>
          <w:szCs w:val="24"/>
        </w:rPr>
        <w:t>如果技术合同当事双方定居于、或设立于同一国家，但其中至少一方为外国实体的分公司、子公司、附属公司、或在其他方式下直接或间接地由外国实体控制，如果技术供应方在技术受让方国家发展所转让的技术，不适用本法。</w:t>
      </w:r>
    </w:p>
    <w:p w:rsidR="00591C83" w:rsidRPr="00523ACD" w:rsidRDefault="00591C83" w:rsidP="00654D85">
      <w:pPr>
        <w:pStyle w:val="Heading2"/>
        <w:rPr>
          <w:rFonts w:ascii="Times New Roman" w:eastAsiaTheme="minorEastAsia" w:hAnsi="Times New Roman"/>
          <w:sz w:val="24"/>
          <w:szCs w:val="24"/>
        </w:rPr>
      </w:pPr>
      <w:bookmarkStart w:id="13" w:name="_Toc338060308"/>
      <w:bookmarkStart w:id="14" w:name="_Toc338079257"/>
      <w:bookmarkStart w:id="15" w:name="_Toc343552964"/>
      <w:bookmarkStart w:id="16" w:name="_Toc343555194"/>
      <w:bookmarkStart w:id="17" w:name="_Toc350508070"/>
      <w:r w:rsidRPr="005A60DB">
        <w:rPr>
          <w:rFonts w:ascii="Times New Roman" w:eastAsiaTheme="minorEastAsia" w:hAnsiTheme="minorEastAsia"/>
          <w:sz w:val="24"/>
          <w:szCs w:val="24"/>
        </w:rPr>
        <w:lastRenderedPageBreak/>
        <w:t>三、</w:t>
      </w:r>
      <w:bookmarkEnd w:id="13"/>
      <w:bookmarkEnd w:id="14"/>
      <w:bookmarkEnd w:id="15"/>
      <w:bookmarkEnd w:id="16"/>
      <w:bookmarkEnd w:id="17"/>
      <w:r w:rsidR="00523ACD" w:rsidRPr="00523ACD">
        <w:rPr>
          <w:rFonts w:ascii="Times New Roman" w:eastAsiaTheme="minorEastAsia" w:hAnsiTheme="minorEastAsia" w:hint="eastAsia"/>
          <w:sz w:val="24"/>
          <w:szCs w:val="24"/>
        </w:rPr>
        <w:t>适度放宽技术进出口登记中的合同审查，以审查交易真实性为主，给予当事人在技术进出口合同中更多的自治空间</w:t>
      </w:r>
    </w:p>
    <w:p w:rsidR="00591C83" w:rsidRDefault="00591C83" w:rsidP="00523ACD">
      <w:pPr>
        <w:ind w:firstLineChars="200" w:firstLine="480"/>
        <w:rPr>
          <w:rFonts w:ascii="Times New Roman" w:eastAsiaTheme="minorEastAsia" w:hAnsiTheme="minorEastAsia"/>
          <w:sz w:val="24"/>
          <w:szCs w:val="24"/>
        </w:rPr>
      </w:pPr>
      <w:r w:rsidRPr="005A60DB">
        <w:rPr>
          <w:rFonts w:ascii="Times New Roman" w:eastAsiaTheme="minorEastAsia" w:hAnsiTheme="minorEastAsia"/>
          <w:sz w:val="24"/>
          <w:szCs w:val="24"/>
        </w:rPr>
        <w:t>根据</w:t>
      </w:r>
      <w:r w:rsidRPr="005A60DB">
        <w:rPr>
          <w:rFonts w:ascii="Times New Roman" w:eastAsiaTheme="minorEastAsia" w:hAnsi="Times New Roman"/>
          <w:sz w:val="24"/>
          <w:szCs w:val="24"/>
        </w:rPr>
        <w:t>2009</w:t>
      </w:r>
      <w:r w:rsidRPr="005A60DB">
        <w:rPr>
          <w:rFonts w:ascii="Times New Roman" w:eastAsiaTheme="minorEastAsia" w:hAnsiTheme="minorEastAsia"/>
          <w:sz w:val="24"/>
          <w:szCs w:val="24"/>
        </w:rPr>
        <w:t>年实施的《技术进出口合同登记管理办法》相关条款的规定，</w:t>
      </w:r>
      <w:r w:rsidRPr="005A60DB">
        <w:rPr>
          <w:rFonts w:ascii="Times New Roman" w:eastAsiaTheme="minorEastAsia" w:hAnsiTheme="minorEastAsia"/>
          <w:kern w:val="0"/>
          <w:sz w:val="24"/>
          <w:szCs w:val="24"/>
        </w:rPr>
        <w:t>国家对自由进出口技术合同实行网上在线登记管理。对申请文件不符合《条例》第</w:t>
      </w:r>
      <w:r w:rsidRPr="005A60DB">
        <w:rPr>
          <w:rFonts w:ascii="Times New Roman" w:eastAsiaTheme="minorEastAsia" w:hAnsi="Times New Roman"/>
          <w:kern w:val="0"/>
          <w:sz w:val="24"/>
          <w:szCs w:val="24"/>
        </w:rPr>
        <w:t>18</w:t>
      </w:r>
      <w:r w:rsidRPr="005A60DB">
        <w:rPr>
          <w:rFonts w:ascii="Times New Roman" w:eastAsiaTheme="minorEastAsia" w:hAnsiTheme="minorEastAsia"/>
          <w:kern w:val="0"/>
          <w:sz w:val="24"/>
          <w:szCs w:val="24"/>
        </w:rPr>
        <w:t>条、第</w:t>
      </w:r>
      <w:r w:rsidRPr="005A60DB">
        <w:rPr>
          <w:rFonts w:ascii="Times New Roman" w:eastAsiaTheme="minorEastAsia" w:hAnsi="Times New Roman"/>
          <w:kern w:val="0"/>
          <w:sz w:val="24"/>
          <w:szCs w:val="24"/>
        </w:rPr>
        <w:t>40</w:t>
      </w:r>
      <w:r w:rsidRPr="005A60DB">
        <w:rPr>
          <w:rFonts w:ascii="Times New Roman" w:eastAsiaTheme="minorEastAsia" w:hAnsiTheme="minorEastAsia"/>
          <w:kern w:val="0"/>
          <w:sz w:val="24"/>
          <w:szCs w:val="24"/>
        </w:rPr>
        <w:t>条规定要求或登记记录与合同内容不一致的，商务主管部门有权要求技术进出口经营者补正、修改。从这两条可以看出，</w:t>
      </w:r>
      <w:r w:rsidRPr="005A60DB">
        <w:rPr>
          <w:rFonts w:ascii="Times New Roman" w:eastAsiaTheme="minorEastAsia" w:hAnsiTheme="minorEastAsia"/>
          <w:sz w:val="24"/>
          <w:szCs w:val="24"/>
        </w:rPr>
        <w:t>商务部门在合同登记时对合同应进行形式审查，即仅应审查技术进口合同登记申请书、技术进口合同副本、签约双方法律地位的证明文件等是否齐全、真实，不应对合同内容应进行实质审查。然而，《技术进出口合同登记管理办法》第</w:t>
      </w:r>
      <w:r w:rsidRPr="005A60DB">
        <w:rPr>
          <w:rFonts w:ascii="Times New Roman" w:eastAsiaTheme="minorEastAsia" w:hAnsi="Times New Roman"/>
          <w:sz w:val="24"/>
          <w:szCs w:val="24"/>
        </w:rPr>
        <w:t>10</w:t>
      </w:r>
      <w:r w:rsidRPr="005A60DB">
        <w:rPr>
          <w:rFonts w:ascii="Times New Roman" w:eastAsiaTheme="minorEastAsia" w:hAnsiTheme="minorEastAsia"/>
          <w:sz w:val="24"/>
          <w:szCs w:val="24"/>
        </w:rPr>
        <w:t>条又规定了自由进出口技术合同登记的主要内容，包括合同号、合同名称、技术合同当事人、合同概况、合同金额、支付方式、合同有效期等。这使一些合同如果在上述方面与</w:t>
      </w:r>
      <w:r w:rsidRPr="005A60DB">
        <w:rPr>
          <w:rFonts w:ascii="Times New Roman" w:eastAsiaTheme="minorEastAsia" w:hAnsiTheme="minorEastAsia"/>
          <w:kern w:val="0"/>
          <w:sz w:val="24"/>
          <w:szCs w:val="24"/>
        </w:rPr>
        <w:t>网上在线登记管理的表格设计不同，就难以登记。</w:t>
      </w:r>
      <w:r w:rsidRPr="005A60DB">
        <w:rPr>
          <w:rFonts w:ascii="Times New Roman" w:eastAsiaTheme="minorEastAsia" w:hAnsiTheme="minorEastAsia"/>
          <w:sz w:val="24"/>
          <w:szCs w:val="24"/>
        </w:rPr>
        <w:t>因此，当前的问题在于避免各地对自由进出口技术合同进行实质审查，并将商务部网站上相关的登记系统做适当修改。</w:t>
      </w:r>
    </w:p>
    <w:p w:rsidR="00523ACD" w:rsidRDefault="00523ACD" w:rsidP="00523ACD">
      <w:pPr>
        <w:ind w:firstLineChars="200" w:firstLine="480"/>
        <w:rPr>
          <w:rFonts w:ascii="Times New Roman" w:eastAsiaTheme="minorEastAsia" w:hAnsi="Times New Roman"/>
          <w:sz w:val="24"/>
          <w:szCs w:val="24"/>
        </w:rPr>
      </w:pPr>
    </w:p>
    <w:p w:rsidR="00523ACD" w:rsidRPr="00523ACD" w:rsidRDefault="00523ACD" w:rsidP="00523ACD">
      <w:pPr>
        <w:ind w:firstLineChars="200" w:firstLine="480"/>
        <w:rPr>
          <w:rFonts w:ascii="Times New Roman" w:eastAsiaTheme="minorEastAsia" w:hAnsi="Times New Roman"/>
          <w:sz w:val="24"/>
          <w:szCs w:val="24"/>
        </w:rPr>
      </w:pPr>
      <w:r w:rsidRPr="00523ACD">
        <w:rPr>
          <w:rFonts w:ascii="Times New Roman" w:eastAsiaTheme="minorEastAsia" w:hAnsi="Times New Roman" w:hint="eastAsia"/>
          <w:sz w:val="24"/>
          <w:szCs w:val="24"/>
        </w:rPr>
        <w:t>技术进出口合同和其他合同一样，应当尊重当事人的意思自治。建议商务部门可以出台一些指导意见和说明，提醒国内企业在跨国技术转移中需要注意的问题，但是明确商务部门审核目的主要是确定交易真实性，在合同审查和登记过程中尊重当事人在合同中的意思自治，尽量减少或者避免对比如许可费的税率、许可合同的年限、合同的生效时间、许可合同中产生的知识产权的归属等条款进行全面审查。</w:t>
      </w:r>
    </w:p>
    <w:p w:rsidR="00523ACD" w:rsidRPr="00523ACD" w:rsidRDefault="00523ACD" w:rsidP="00523ACD">
      <w:pPr>
        <w:ind w:firstLineChars="200" w:firstLine="480"/>
        <w:rPr>
          <w:rFonts w:ascii="Times New Roman" w:eastAsiaTheme="minorEastAsia" w:hAnsi="Times New Roman"/>
          <w:sz w:val="24"/>
          <w:szCs w:val="24"/>
        </w:rPr>
      </w:pPr>
    </w:p>
    <w:p w:rsidR="00523ACD" w:rsidRPr="00523ACD" w:rsidRDefault="00523ACD" w:rsidP="00523ACD">
      <w:pPr>
        <w:ind w:firstLineChars="200" w:firstLine="480"/>
        <w:rPr>
          <w:rFonts w:ascii="Times New Roman" w:eastAsiaTheme="minorEastAsia" w:hAnsi="Times New Roman"/>
          <w:sz w:val="24"/>
          <w:szCs w:val="24"/>
        </w:rPr>
      </w:pPr>
      <w:r w:rsidRPr="00523ACD">
        <w:rPr>
          <w:rFonts w:ascii="Times New Roman" w:eastAsiaTheme="minorEastAsia" w:hAnsi="Times New Roman" w:hint="eastAsia"/>
          <w:sz w:val="24"/>
          <w:szCs w:val="24"/>
        </w:rPr>
        <w:t>以前技术进口合同在商务部门的备案需要进行实质审查是有历史原因的。以前国内企业相对于国外企业而言，在合同谈判和制作过程中法律意识不强，导致出现不少不利于国内企业的合同条款。因此由商务部门对技术进出口合同的有效性进行审核，对技术转移合同提出建议，从而保护中国企业免受到外国企业的不合理条约的损失。</w:t>
      </w:r>
    </w:p>
    <w:p w:rsidR="00523ACD" w:rsidRPr="00523ACD" w:rsidRDefault="00523ACD" w:rsidP="00523ACD">
      <w:pPr>
        <w:ind w:firstLineChars="200" w:firstLine="480"/>
        <w:rPr>
          <w:rFonts w:ascii="Times New Roman" w:eastAsiaTheme="minorEastAsia" w:hAnsi="Times New Roman"/>
          <w:sz w:val="24"/>
          <w:szCs w:val="24"/>
        </w:rPr>
      </w:pPr>
    </w:p>
    <w:p w:rsidR="00523ACD" w:rsidRPr="00523ACD" w:rsidRDefault="00523ACD" w:rsidP="00523ACD">
      <w:pPr>
        <w:ind w:firstLineChars="200" w:firstLine="480"/>
        <w:rPr>
          <w:rFonts w:ascii="Times New Roman" w:eastAsiaTheme="minorEastAsia" w:hAnsi="Times New Roman"/>
          <w:sz w:val="24"/>
          <w:szCs w:val="24"/>
        </w:rPr>
      </w:pPr>
      <w:r w:rsidRPr="00523ACD">
        <w:rPr>
          <w:rFonts w:ascii="Times New Roman" w:eastAsiaTheme="minorEastAsia" w:hAnsi="Times New Roman" w:hint="eastAsia"/>
          <w:sz w:val="24"/>
          <w:szCs w:val="24"/>
        </w:rPr>
        <w:t>随着中国企业这么多年对外贸易经验的积累，法律意识的增强，以及贸易自由的考量，还有双方当事人保密的需要，都需要政府部门减少对于自由贸易的干预。实践操作中，很多企业为了避免技术合同在商务部门审核带来的麻烦，往往出具短合同或者出具情况说明来规避审核，造成不必要的工作量。而且各地的商务部门很多审核员的水平参差不齐，很难对专业度非常高的技术进出口合同的条款提出实质性的建议。因为没有明确商务部门是否有对于合同内容进行实质性审查的义务，以及如何判断哪些条款属于不合理，造成了合同登记时间冗长，手续繁杂，需要多次提交补充说明。</w:t>
      </w:r>
    </w:p>
    <w:p w:rsidR="00523ACD" w:rsidRPr="00523ACD" w:rsidRDefault="00523ACD" w:rsidP="00523ACD">
      <w:pPr>
        <w:ind w:firstLineChars="200" w:firstLine="480"/>
        <w:rPr>
          <w:rFonts w:ascii="Times New Roman" w:eastAsiaTheme="minorEastAsia" w:hAnsi="Times New Roman"/>
          <w:sz w:val="24"/>
          <w:szCs w:val="24"/>
        </w:rPr>
      </w:pPr>
    </w:p>
    <w:p w:rsidR="00523ACD" w:rsidRDefault="00523ACD" w:rsidP="00523ACD">
      <w:pPr>
        <w:ind w:firstLineChars="200" w:firstLine="480"/>
        <w:rPr>
          <w:rFonts w:ascii="Times New Roman" w:eastAsiaTheme="minorEastAsia" w:hAnsi="Times New Roman"/>
          <w:sz w:val="24"/>
          <w:szCs w:val="24"/>
        </w:rPr>
      </w:pPr>
      <w:r w:rsidRPr="00523ACD">
        <w:rPr>
          <w:rFonts w:ascii="Times New Roman" w:eastAsiaTheme="minorEastAsia" w:hAnsi="Times New Roman" w:hint="eastAsia"/>
          <w:sz w:val="24"/>
          <w:szCs w:val="24"/>
        </w:rPr>
        <w:t>针对上述问题，建议商务部门在完善技术进出口法律体系的过程中，主要审查交易的真实性，合同主体的有效性，确保合同真实存在。在技术合同转移登记表中也只需要预估用汇额度，尽量不收集与合同真实性关联不密切的内容（比如合同金额、支付方式、提成率、合同有效期等）。</w:t>
      </w:r>
    </w:p>
    <w:p w:rsidR="00523ACD" w:rsidRDefault="00523ACD" w:rsidP="00523ACD">
      <w:pPr>
        <w:rPr>
          <w:rFonts w:ascii="Times New Roman" w:eastAsiaTheme="minorEastAsia" w:hAnsi="Times New Roman"/>
          <w:sz w:val="24"/>
          <w:szCs w:val="24"/>
        </w:rPr>
      </w:pPr>
    </w:p>
    <w:p w:rsidR="00523ACD" w:rsidRDefault="00523ACD" w:rsidP="00523ACD">
      <w:pPr>
        <w:rPr>
          <w:rFonts w:ascii="Times New Roman" w:eastAsiaTheme="minorEastAsia" w:hAnsiTheme="minorEastAsia"/>
          <w:b/>
          <w:bCs/>
          <w:sz w:val="24"/>
          <w:szCs w:val="24"/>
        </w:rPr>
      </w:pPr>
      <w:r w:rsidRPr="00523ACD">
        <w:rPr>
          <w:rFonts w:ascii="Times New Roman" w:eastAsiaTheme="minorEastAsia" w:hAnsiTheme="minorEastAsia" w:hint="eastAsia"/>
          <w:b/>
          <w:bCs/>
          <w:sz w:val="24"/>
          <w:szCs w:val="24"/>
        </w:rPr>
        <w:t>四、统一规范全国各级商务部门的技术进出口合同登记流程，并尽量简化各部</w:t>
      </w:r>
      <w:r w:rsidRPr="00523ACD">
        <w:rPr>
          <w:rFonts w:ascii="Times New Roman" w:eastAsiaTheme="minorEastAsia" w:hAnsiTheme="minorEastAsia" w:hint="eastAsia"/>
          <w:b/>
          <w:bCs/>
          <w:sz w:val="24"/>
          <w:szCs w:val="24"/>
        </w:rPr>
        <w:lastRenderedPageBreak/>
        <w:t>门登记审批程序</w:t>
      </w:r>
    </w:p>
    <w:p w:rsidR="00523ACD" w:rsidRPr="00523ACD" w:rsidRDefault="00523ACD" w:rsidP="00523ACD">
      <w:pPr>
        <w:rPr>
          <w:rFonts w:ascii="Times New Roman" w:eastAsiaTheme="minorEastAsia" w:hAnsiTheme="minorEastAsia"/>
          <w:b/>
          <w:bCs/>
          <w:sz w:val="24"/>
          <w:szCs w:val="24"/>
        </w:rPr>
      </w:pPr>
    </w:p>
    <w:p w:rsidR="00523ACD" w:rsidRPr="00523ACD" w:rsidRDefault="00523ACD" w:rsidP="00E744F5">
      <w:pPr>
        <w:ind w:firstLineChars="200" w:firstLine="480"/>
        <w:rPr>
          <w:rFonts w:ascii="Times New Roman" w:eastAsiaTheme="minorEastAsia" w:hAnsi="Times New Roman"/>
          <w:sz w:val="24"/>
          <w:szCs w:val="24"/>
        </w:rPr>
      </w:pPr>
      <w:r w:rsidRPr="00523ACD">
        <w:rPr>
          <w:rFonts w:ascii="Times New Roman" w:eastAsiaTheme="minorEastAsia" w:hAnsi="Times New Roman" w:hint="eastAsia"/>
          <w:sz w:val="24"/>
          <w:szCs w:val="24"/>
        </w:rPr>
        <w:t>技术进口合同登记由于是在各地的商务局或者外经贸委登记，缺乏统一标准流程。有的省是在省外经委，有的省是在市外经委，有的地方需要网上申报，有的地方不需要网上申报。流程不一致，所需提交的文件众多，流程冗长。之所以企业无法委托一个中介机构代为办理授权用户在各地的合同登记就是因为每个地方的流程、审批单位、文件要求不一致。因此，建议出台明确清晰的要求，标准规范各地操作，对政务尽量做到公开、透明。同时，在合同登记是尽量简化程序，</w:t>
      </w:r>
    </w:p>
    <w:p w:rsidR="00523ACD" w:rsidRPr="00523ACD" w:rsidRDefault="00523ACD" w:rsidP="00523ACD">
      <w:pPr>
        <w:rPr>
          <w:rFonts w:ascii="Times New Roman" w:eastAsiaTheme="minorEastAsia" w:hAnsi="Times New Roman"/>
          <w:sz w:val="24"/>
          <w:szCs w:val="24"/>
        </w:rPr>
      </w:pPr>
    </w:p>
    <w:p w:rsidR="00523ACD" w:rsidRPr="00523ACD" w:rsidRDefault="00523ACD" w:rsidP="00523ACD">
      <w:pPr>
        <w:rPr>
          <w:rFonts w:ascii="Times New Roman" w:eastAsiaTheme="minorEastAsia" w:hAnsi="Times New Roman"/>
          <w:sz w:val="24"/>
          <w:szCs w:val="24"/>
        </w:rPr>
      </w:pPr>
      <w:r w:rsidRPr="00523ACD">
        <w:rPr>
          <w:rFonts w:ascii="Times New Roman" w:eastAsiaTheme="minorEastAsia" w:hAnsi="Times New Roman" w:hint="eastAsia"/>
          <w:sz w:val="24"/>
          <w:szCs w:val="24"/>
        </w:rPr>
        <w:t>以下就合同登记过程中实际出现的问题，给出具体建议：</w:t>
      </w:r>
    </w:p>
    <w:p w:rsidR="00523ACD" w:rsidRPr="00523ACD" w:rsidRDefault="00523ACD" w:rsidP="00523ACD">
      <w:pPr>
        <w:rPr>
          <w:rFonts w:ascii="Times New Roman" w:eastAsiaTheme="minorEastAsia" w:hAnsi="Times New Roman"/>
          <w:sz w:val="24"/>
          <w:szCs w:val="24"/>
        </w:rPr>
      </w:pPr>
    </w:p>
    <w:p w:rsidR="00523ACD" w:rsidRPr="00523ACD" w:rsidRDefault="00523ACD" w:rsidP="00523ACD">
      <w:pPr>
        <w:rPr>
          <w:rFonts w:ascii="Times New Roman" w:eastAsiaTheme="minorEastAsia" w:hAnsi="Times New Roman"/>
          <w:sz w:val="24"/>
          <w:szCs w:val="24"/>
        </w:rPr>
      </w:pPr>
      <w:r w:rsidRPr="00523ACD">
        <w:rPr>
          <w:rFonts w:ascii="Times New Roman" w:eastAsiaTheme="minorEastAsia" w:hAnsi="Times New Roman"/>
          <w:sz w:val="24"/>
          <w:szCs w:val="24"/>
        </w:rPr>
        <w:t>1</w:t>
      </w:r>
      <w:r w:rsidRPr="00523ACD">
        <w:rPr>
          <w:rFonts w:ascii="Times New Roman" w:eastAsiaTheme="minorEastAsia" w:hAnsi="Times New Roman" w:hint="eastAsia"/>
          <w:sz w:val="24"/>
          <w:szCs w:val="24"/>
        </w:rPr>
        <w:t>）登记过程中尽量通过政府平台或者代理，为企业提供登记便利</w:t>
      </w:r>
    </w:p>
    <w:p w:rsidR="00523ACD" w:rsidRPr="00523ACD" w:rsidRDefault="00523ACD" w:rsidP="00523ACD">
      <w:pPr>
        <w:rPr>
          <w:rFonts w:ascii="Times New Roman" w:eastAsiaTheme="minorEastAsia" w:hAnsi="Times New Roman"/>
          <w:sz w:val="24"/>
          <w:szCs w:val="24"/>
        </w:rPr>
      </w:pPr>
      <w:r w:rsidRPr="00523ACD">
        <w:rPr>
          <w:rFonts w:ascii="Times New Roman" w:eastAsiaTheme="minorEastAsia" w:hAnsi="Times New Roman" w:hint="eastAsia"/>
          <w:sz w:val="24"/>
          <w:szCs w:val="24"/>
        </w:rPr>
        <w:t>鉴于各地的商务局或者外经贸委对许可程序的要求有所不同，因此，对于允许进行网上申报的，被许可方可以自行在其网上系统进行录入，然后再将所需书面材料提交给当地商务局或者外经贸委。对于比较复杂的进出口合同，企业也可以委托平台指定的部门或者代理机构进行登记。对于条件不允许进行网上申报的，则被许可方可以根据当地商务局或外经贸委的要求准备所需的书面材料，并由指定的部门或代理机构进行登记。</w:t>
      </w:r>
    </w:p>
    <w:p w:rsidR="00523ACD" w:rsidRPr="00523ACD" w:rsidRDefault="00523ACD" w:rsidP="00523ACD">
      <w:pPr>
        <w:rPr>
          <w:rFonts w:ascii="Times New Roman" w:eastAsiaTheme="minorEastAsia" w:hAnsi="Times New Roman"/>
          <w:sz w:val="24"/>
          <w:szCs w:val="24"/>
        </w:rPr>
      </w:pPr>
    </w:p>
    <w:p w:rsidR="00523ACD" w:rsidRPr="00523ACD" w:rsidRDefault="00523ACD" w:rsidP="00523ACD">
      <w:pPr>
        <w:rPr>
          <w:rFonts w:ascii="Times New Roman" w:eastAsiaTheme="minorEastAsia" w:hAnsi="Times New Roman"/>
          <w:sz w:val="24"/>
          <w:szCs w:val="24"/>
        </w:rPr>
      </w:pPr>
      <w:r w:rsidRPr="00523ACD">
        <w:rPr>
          <w:rFonts w:ascii="Times New Roman" w:eastAsiaTheme="minorEastAsia" w:hAnsi="Times New Roman"/>
          <w:sz w:val="24"/>
          <w:szCs w:val="24"/>
        </w:rPr>
        <w:t>2</w:t>
      </w:r>
      <w:r w:rsidRPr="00523ACD">
        <w:rPr>
          <w:rFonts w:ascii="Times New Roman" w:eastAsiaTheme="minorEastAsia" w:hAnsi="Times New Roman" w:hint="eastAsia"/>
          <w:sz w:val="24"/>
          <w:szCs w:val="24"/>
        </w:rPr>
        <w:t>）合同登记流程中基本做到一站式登记，尽量避免层层报批</w:t>
      </w:r>
    </w:p>
    <w:p w:rsidR="00523ACD" w:rsidRPr="00523ACD" w:rsidRDefault="00523ACD" w:rsidP="00523ACD">
      <w:pPr>
        <w:rPr>
          <w:rFonts w:ascii="Times New Roman" w:eastAsiaTheme="minorEastAsia" w:hAnsi="Times New Roman"/>
          <w:sz w:val="24"/>
          <w:szCs w:val="24"/>
        </w:rPr>
      </w:pPr>
      <w:r w:rsidRPr="00523ACD">
        <w:rPr>
          <w:rFonts w:ascii="Times New Roman" w:eastAsiaTheme="minorEastAsia" w:hAnsi="Times New Roman" w:hint="eastAsia"/>
          <w:sz w:val="24"/>
          <w:szCs w:val="24"/>
        </w:rPr>
        <w:t>由于各地技术许可流程不同，有的需在市外经贸委初审再至省外经贸委颁发证书，有的直接在省外经贸委审核颁证，具体需咨询当地外经贸委。建议在合同登记环节尽量采用一站式登记审批，避免层层报批。</w:t>
      </w:r>
    </w:p>
    <w:p w:rsidR="00523ACD" w:rsidRPr="00523ACD" w:rsidRDefault="00523ACD" w:rsidP="00523ACD">
      <w:pPr>
        <w:rPr>
          <w:rFonts w:ascii="Times New Roman" w:eastAsiaTheme="minorEastAsia" w:hAnsi="Times New Roman"/>
          <w:sz w:val="24"/>
          <w:szCs w:val="24"/>
        </w:rPr>
      </w:pPr>
    </w:p>
    <w:p w:rsidR="00523ACD" w:rsidRPr="00523ACD" w:rsidRDefault="00523ACD" w:rsidP="00523ACD">
      <w:pPr>
        <w:rPr>
          <w:rFonts w:ascii="Times New Roman" w:eastAsiaTheme="minorEastAsia" w:hAnsi="Times New Roman"/>
          <w:sz w:val="24"/>
          <w:szCs w:val="24"/>
        </w:rPr>
      </w:pPr>
      <w:r w:rsidRPr="00523ACD">
        <w:rPr>
          <w:rFonts w:ascii="Times New Roman" w:eastAsiaTheme="minorEastAsia" w:hAnsi="Times New Roman"/>
          <w:sz w:val="24"/>
          <w:szCs w:val="24"/>
        </w:rPr>
        <w:t>3</w:t>
      </w:r>
      <w:r w:rsidRPr="00523ACD">
        <w:rPr>
          <w:rFonts w:ascii="Times New Roman" w:eastAsiaTheme="minorEastAsia" w:hAnsi="Times New Roman" w:hint="eastAsia"/>
          <w:sz w:val="24"/>
          <w:szCs w:val="24"/>
        </w:rPr>
        <w:t>）统一规范登记流程，简化登记需提交的材料</w:t>
      </w:r>
    </w:p>
    <w:p w:rsidR="00523ACD" w:rsidRPr="00523ACD" w:rsidRDefault="00523ACD" w:rsidP="00523ACD">
      <w:pPr>
        <w:rPr>
          <w:rFonts w:ascii="Times New Roman" w:eastAsiaTheme="minorEastAsia" w:hAnsi="Times New Roman"/>
          <w:sz w:val="24"/>
          <w:szCs w:val="24"/>
        </w:rPr>
      </w:pPr>
      <w:r w:rsidRPr="00523ACD">
        <w:rPr>
          <w:rFonts w:ascii="Times New Roman" w:eastAsiaTheme="minorEastAsia" w:hAnsi="Times New Roman" w:hint="eastAsia"/>
          <w:sz w:val="24"/>
          <w:szCs w:val="24"/>
        </w:rPr>
        <w:t>对于技术进口登记许可所需提交的书面材料，各地商务局或外经贸委的要求各不相同。建议各地统一流程，统一审批办法，统一审批材料，简化审批材料（例如只需要提交技术进口合同数据表，技术进口合同申请表，签约双方法律地位的证明文件）。</w:t>
      </w:r>
    </w:p>
    <w:p w:rsidR="00523ACD" w:rsidRPr="00523ACD" w:rsidRDefault="00523ACD" w:rsidP="00523ACD">
      <w:pPr>
        <w:rPr>
          <w:rFonts w:ascii="Times New Roman" w:eastAsiaTheme="minorEastAsia" w:hAnsi="Times New Roman"/>
          <w:sz w:val="24"/>
          <w:szCs w:val="24"/>
        </w:rPr>
      </w:pPr>
    </w:p>
    <w:p w:rsidR="00523ACD" w:rsidRPr="00523ACD" w:rsidRDefault="00523ACD" w:rsidP="00523ACD">
      <w:pPr>
        <w:rPr>
          <w:rFonts w:ascii="Times New Roman" w:eastAsiaTheme="minorEastAsia" w:hAnsi="Times New Roman"/>
          <w:sz w:val="24"/>
          <w:szCs w:val="24"/>
        </w:rPr>
      </w:pPr>
      <w:r w:rsidRPr="00523ACD">
        <w:rPr>
          <w:rFonts w:ascii="Times New Roman" w:eastAsiaTheme="minorEastAsia" w:hAnsi="Times New Roman"/>
          <w:sz w:val="24"/>
          <w:szCs w:val="24"/>
        </w:rPr>
        <w:t>4</w:t>
      </w:r>
      <w:r w:rsidRPr="00523ACD">
        <w:rPr>
          <w:rFonts w:ascii="Times New Roman" w:eastAsiaTheme="minorEastAsia" w:hAnsi="Times New Roman" w:hint="eastAsia"/>
          <w:sz w:val="24"/>
          <w:szCs w:val="24"/>
        </w:rPr>
        <w:t>）简化相关政府部门对进出口合同登记有关的工作流程</w:t>
      </w:r>
    </w:p>
    <w:p w:rsidR="00523ACD" w:rsidRPr="00523ACD" w:rsidRDefault="00523ACD" w:rsidP="00523ACD">
      <w:pPr>
        <w:rPr>
          <w:rFonts w:ascii="Times New Roman" w:eastAsiaTheme="minorEastAsia" w:hAnsi="Times New Roman"/>
          <w:sz w:val="24"/>
          <w:szCs w:val="24"/>
        </w:rPr>
      </w:pPr>
      <w:r w:rsidRPr="00523ACD">
        <w:rPr>
          <w:rFonts w:ascii="Times New Roman" w:eastAsiaTheme="minorEastAsia" w:hAnsi="Times New Roman" w:hint="eastAsia"/>
          <w:sz w:val="24"/>
          <w:szCs w:val="24"/>
        </w:rPr>
        <w:t>有些企业符合免于征收增值税的条件，走免征流程的时候也需要审核多项材料，需要得到国税局和地税局的双重审批，建议各级税务部门也简化相关流程。此外，针对进出口合同常见的预付款条款的支付流程，也给予简化。预付款一般是保证双方有诚意履约，并是开始启动技术转移的重要节点。因为这笔费用需要走完整个流程才能支付，往往所需时间最长。建议出台一些简化流程，保障预付款的支付快速。</w:t>
      </w:r>
    </w:p>
    <w:p w:rsidR="00591C83" w:rsidRPr="005A60DB" w:rsidRDefault="00523ACD" w:rsidP="00654D85">
      <w:pPr>
        <w:pStyle w:val="Heading2"/>
        <w:rPr>
          <w:rFonts w:ascii="Times New Roman" w:eastAsiaTheme="minorEastAsia" w:hAnsi="Times New Roman"/>
          <w:sz w:val="24"/>
          <w:szCs w:val="24"/>
        </w:rPr>
      </w:pPr>
      <w:bookmarkStart w:id="18" w:name="_Toc338060309"/>
      <w:bookmarkStart w:id="19" w:name="_Toc338079258"/>
      <w:bookmarkStart w:id="20" w:name="_Toc343552965"/>
      <w:bookmarkStart w:id="21" w:name="_Toc343555195"/>
      <w:bookmarkStart w:id="22" w:name="_Toc350508071"/>
      <w:r>
        <w:rPr>
          <w:rFonts w:ascii="Times New Roman" w:eastAsiaTheme="minorEastAsia" w:hAnsiTheme="minorEastAsia" w:hint="eastAsia"/>
          <w:sz w:val="24"/>
          <w:szCs w:val="24"/>
        </w:rPr>
        <w:t>五</w:t>
      </w:r>
      <w:r w:rsidR="00591C83" w:rsidRPr="005A60DB">
        <w:rPr>
          <w:rFonts w:ascii="Times New Roman" w:eastAsiaTheme="minorEastAsia" w:hAnsiTheme="minorEastAsia"/>
          <w:sz w:val="24"/>
          <w:szCs w:val="24"/>
        </w:rPr>
        <w:t>、废除限制进出口技术合同生效条件的规定</w:t>
      </w:r>
      <w:bookmarkEnd w:id="18"/>
      <w:bookmarkEnd w:id="19"/>
      <w:bookmarkEnd w:id="20"/>
      <w:bookmarkEnd w:id="21"/>
      <w:bookmarkEnd w:id="22"/>
    </w:p>
    <w:p w:rsidR="00591C83" w:rsidRPr="005A60DB" w:rsidRDefault="00591C83" w:rsidP="005A60DB">
      <w:pPr>
        <w:ind w:firstLineChars="200" w:firstLine="480"/>
        <w:rPr>
          <w:rFonts w:ascii="Times New Roman" w:eastAsiaTheme="minorEastAsia" w:hAnsi="Times New Roman"/>
          <w:kern w:val="0"/>
          <w:sz w:val="24"/>
          <w:szCs w:val="24"/>
        </w:rPr>
      </w:pPr>
      <w:r w:rsidRPr="005A60DB">
        <w:rPr>
          <w:rFonts w:ascii="Times New Roman" w:eastAsiaTheme="minorEastAsia" w:hAnsiTheme="minorEastAsia"/>
          <w:kern w:val="0"/>
          <w:sz w:val="24"/>
          <w:szCs w:val="24"/>
        </w:rPr>
        <w:t>目前的法律法规将合同生效与限制进出口技术许可证的颁发相联系，规定限制进出口技术的合同，在进出口许可证颁发之日起生效。这一规定，在目前中国的技术贸易新形势下，已经失去存在的基础。</w:t>
      </w:r>
    </w:p>
    <w:p w:rsidR="00591C83" w:rsidRPr="005A60DB" w:rsidRDefault="00591C83" w:rsidP="005A60DB">
      <w:pPr>
        <w:ind w:firstLineChars="200" w:firstLine="480"/>
        <w:rPr>
          <w:rFonts w:ascii="Times New Roman" w:eastAsiaTheme="minorEastAsia" w:hAnsi="Times New Roman"/>
          <w:kern w:val="0"/>
          <w:sz w:val="24"/>
          <w:szCs w:val="24"/>
        </w:rPr>
      </w:pPr>
      <w:r w:rsidRPr="005A60DB">
        <w:rPr>
          <w:rFonts w:ascii="Times New Roman" w:eastAsiaTheme="minorEastAsia" w:hAnsiTheme="minorEastAsia"/>
          <w:kern w:val="0"/>
          <w:sz w:val="24"/>
          <w:szCs w:val="24"/>
        </w:rPr>
        <w:lastRenderedPageBreak/>
        <w:t>因此，建议将该条文修改为：限制技术进出口合同，自合同成立时生效。</w:t>
      </w:r>
    </w:p>
    <w:p w:rsidR="00591C83" w:rsidRPr="005A60DB" w:rsidRDefault="00523ACD" w:rsidP="00654D85">
      <w:pPr>
        <w:pStyle w:val="Heading2"/>
        <w:rPr>
          <w:rFonts w:ascii="Times New Roman" w:eastAsiaTheme="minorEastAsia" w:hAnsi="Times New Roman"/>
          <w:sz w:val="24"/>
          <w:szCs w:val="24"/>
        </w:rPr>
      </w:pPr>
      <w:bookmarkStart w:id="23" w:name="_Toc337713900"/>
      <w:bookmarkStart w:id="24" w:name="_Toc338060310"/>
      <w:bookmarkStart w:id="25" w:name="_Toc338079259"/>
      <w:bookmarkStart w:id="26" w:name="_Toc343552966"/>
      <w:bookmarkStart w:id="27" w:name="_Toc343555196"/>
      <w:bookmarkStart w:id="28" w:name="_Toc350508072"/>
      <w:r>
        <w:rPr>
          <w:rFonts w:ascii="Times New Roman" w:eastAsiaTheme="minorEastAsia" w:hAnsiTheme="minorEastAsia" w:hint="eastAsia"/>
          <w:sz w:val="24"/>
          <w:szCs w:val="24"/>
        </w:rPr>
        <w:t>六</w:t>
      </w:r>
      <w:r w:rsidR="00591C83" w:rsidRPr="005A60DB">
        <w:rPr>
          <w:rFonts w:ascii="Times New Roman" w:eastAsiaTheme="minorEastAsia" w:hAnsiTheme="minorEastAsia"/>
          <w:sz w:val="24"/>
          <w:szCs w:val="24"/>
        </w:rPr>
        <w:t>、</w:t>
      </w:r>
      <w:bookmarkEnd w:id="23"/>
      <w:bookmarkEnd w:id="24"/>
      <w:bookmarkEnd w:id="25"/>
      <w:r w:rsidR="00591C83" w:rsidRPr="005A60DB">
        <w:rPr>
          <w:rFonts w:ascii="Times New Roman" w:eastAsiaTheme="minorEastAsia" w:hAnsiTheme="minorEastAsia"/>
          <w:sz w:val="24"/>
          <w:szCs w:val="24"/>
        </w:rPr>
        <w:t>减少对限制性商业行为的列举</w:t>
      </w:r>
      <w:bookmarkEnd w:id="26"/>
      <w:bookmarkEnd w:id="27"/>
      <w:bookmarkEnd w:id="28"/>
    </w:p>
    <w:p w:rsidR="00591C83" w:rsidRPr="005A60DB" w:rsidRDefault="00591C83" w:rsidP="005A60DB">
      <w:pPr>
        <w:ind w:firstLineChars="200" w:firstLine="480"/>
        <w:rPr>
          <w:rFonts w:ascii="Times New Roman" w:eastAsiaTheme="minorEastAsia" w:hAnsi="Times New Roman"/>
          <w:sz w:val="24"/>
          <w:szCs w:val="24"/>
        </w:rPr>
      </w:pPr>
      <w:r w:rsidRPr="005A60DB">
        <w:rPr>
          <w:rFonts w:ascii="Times New Roman" w:eastAsiaTheme="minorEastAsia" w:hAnsiTheme="minorEastAsia"/>
          <w:sz w:val="24"/>
          <w:szCs w:val="24"/>
        </w:rPr>
        <w:t>在强制性条款和任意性条款的设置上，国家出于经济社会发展、国家安全、市场竞争等公共利益的原因，对技术进出口进行管理，当然具有正当性。但技术进出口本身具有明显的私法属性。因此，在相关法律法规的制定上，应当平衡好</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公共利益</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和</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约定自由</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的关系。一方面，《条例》关于国家对技术进出口合同分类管理的强制性条款，应具有绝对的效力，不允许当事人通过任何方式加以排除；另一方面，对于不违反安全政策、竞争条款的技术进出口协议，应赋予当事人较大的自主权。实际上，《条例》中的限制性商业做法等强制性条款，因为商务部门已经不再对合同进行</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合法性</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审查而不具有强制性效力。在某种程度上来说，其作用已经由强制性规范转变为指引性规范。</w:t>
      </w:r>
    </w:p>
    <w:p w:rsidR="00591C83" w:rsidRPr="005A60DB" w:rsidRDefault="00591C83" w:rsidP="005A60DB">
      <w:pPr>
        <w:ind w:firstLineChars="200" w:firstLine="480"/>
        <w:rPr>
          <w:rFonts w:ascii="Times New Roman" w:eastAsiaTheme="minorEastAsia" w:hAnsi="Times New Roman"/>
          <w:sz w:val="24"/>
          <w:szCs w:val="24"/>
        </w:rPr>
      </w:pPr>
      <w:r w:rsidRPr="005A60DB">
        <w:rPr>
          <w:rFonts w:ascii="Times New Roman" w:eastAsiaTheme="minorEastAsia" w:hAnsiTheme="minorEastAsia"/>
          <w:sz w:val="24"/>
          <w:szCs w:val="24"/>
        </w:rPr>
        <w:t>不过，即便是作为指引性规范，其作用也是显而易见的。因此，</w:t>
      </w:r>
      <w:r w:rsidR="00531928" w:rsidRPr="005A60DB">
        <w:rPr>
          <w:rFonts w:ascii="Times New Roman" w:eastAsiaTheme="minorEastAsia" w:hAnsiTheme="minorEastAsia"/>
          <w:sz w:val="24"/>
          <w:szCs w:val="24"/>
        </w:rPr>
        <w:t>在《条例》中仍有保留的必要，</w:t>
      </w:r>
      <w:r w:rsidRPr="005A60DB">
        <w:rPr>
          <w:rFonts w:ascii="Times New Roman" w:eastAsiaTheme="minorEastAsia" w:hAnsiTheme="minorEastAsia"/>
          <w:sz w:val="24"/>
          <w:szCs w:val="24"/>
        </w:rPr>
        <w:t>所以，需要进一步完善。具体来说，《条例》第</w:t>
      </w:r>
      <w:r w:rsidRPr="005A60DB">
        <w:rPr>
          <w:rFonts w:ascii="Times New Roman" w:eastAsiaTheme="minorEastAsia" w:hAnsi="Times New Roman"/>
          <w:sz w:val="24"/>
          <w:szCs w:val="24"/>
        </w:rPr>
        <w:t>29</w:t>
      </w:r>
      <w:r w:rsidRPr="005A60DB">
        <w:rPr>
          <w:rFonts w:ascii="Times New Roman" w:eastAsiaTheme="minorEastAsia" w:hAnsiTheme="minorEastAsia"/>
          <w:sz w:val="24"/>
          <w:szCs w:val="24"/>
        </w:rPr>
        <w:t>条第</w:t>
      </w:r>
      <w:r w:rsidRPr="005A60DB">
        <w:rPr>
          <w:rFonts w:ascii="Times New Roman" w:eastAsiaTheme="minorEastAsia" w:hAnsi="Times New Roman"/>
          <w:sz w:val="24"/>
          <w:szCs w:val="24"/>
        </w:rPr>
        <w:t>1</w:t>
      </w:r>
      <w:r w:rsidRPr="005A60DB">
        <w:rPr>
          <w:rFonts w:ascii="Times New Roman" w:eastAsiaTheme="minorEastAsia" w:hAnsiTheme="minorEastAsia"/>
          <w:sz w:val="24"/>
          <w:szCs w:val="24"/>
        </w:rPr>
        <w:t>款，禁止</w:t>
      </w:r>
      <w:r w:rsidR="003E488D" w:rsidRPr="005A60DB">
        <w:rPr>
          <w:rFonts w:ascii="Times New Roman" w:eastAsiaTheme="minorEastAsia" w:hAnsi="Times New Roman"/>
          <w:sz w:val="24"/>
          <w:szCs w:val="24"/>
        </w:rPr>
        <w:t>“</w:t>
      </w:r>
      <w:r w:rsidRPr="005A60DB">
        <w:rPr>
          <w:rFonts w:ascii="Times New Roman" w:eastAsiaTheme="minorEastAsia" w:hAnsiTheme="minorEastAsia"/>
          <w:sz w:val="24"/>
          <w:szCs w:val="24"/>
        </w:rPr>
        <w:t>搭售</w:t>
      </w:r>
      <w:r w:rsidR="003E488D" w:rsidRPr="005A60DB">
        <w:rPr>
          <w:rFonts w:ascii="Times New Roman" w:eastAsiaTheme="minorEastAsia" w:hAnsi="Times New Roman"/>
          <w:sz w:val="24"/>
          <w:szCs w:val="24"/>
        </w:rPr>
        <w:t>”</w:t>
      </w:r>
      <w:r w:rsidRPr="005A60DB">
        <w:rPr>
          <w:rFonts w:ascii="Times New Roman" w:eastAsiaTheme="minorEastAsia" w:hAnsiTheme="minorEastAsia"/>
          <w:sz w:val="24"/>
          <w:szCs w:val="24"/>
        </w:rPr>
        <w:t>条款，可以由当事人自由约定。对</w:t>
      </w:r>
      <w:r w:rsidR="00483332" w:rsidRPr="005A60DB">
        <w:rPr>
          <w:rFonts w:ascii="Times New Roman" w:eastAsiaTheme="minorEastAsia" w:hAnsi="Times New Roman"/>
          <w:sz w:val="24"/>
          <w:szCs w:val="24"/>
        </w:rPr>
        <w:t>“</w:t>
      </w:r>
      <w:r w:rsidRPr="005A60DB">
        <w:rPr>
          <w:rFonts w:ascii="Times New Roman" w:eastAsiaTheme="minorEastAsia" w:hAnsiTheme="minorEastAsia"/>
          <w:sz w:val="24"/>
          <w:szCs w:val="24"/>
        </w:rPr>
        <w:t>不合理限制受让人购买原材料、零部件、产品或者设备的渠道或者来源</w:t>
      </w:r>
      <w:r w:rsidRPr="005A60DB">
        <w:rPr>
          <w:rFonts w:ascii="Times New Roman" w:eastAsiaTheme="minorEastAsia" w:hAnsi="Times New Roman"/>
          <w:sz w:val="24"/>
          <w:szCs w:val="24"/>
        </w:rPr>
        <w:t xml:space="preserve">” </w:t>
      </w:r>
      <w:r w:rsidRPr="005A60DB">
        <w:rPr>
          <w:rFonts w:ascii="Times New Roman" w:eastAsiaTheme="minorEastAsia" w:hAnsiTheme="minorEastAsia"/>
          <w:sz w:val="24"/>
          <w:szCs w:val="24"/>
        </w:rPr>
        <w:t>、</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不合理限制受让人产品的生产数量、品种或者销售价格</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的规定，应进一步明确不合理的判断标准。</w:t>
      </w:r>
    </w:p>
    <w:p w:rsidR="00591C83" w:rsidRPr="005A60DB" w:rsidRDefault="00523ACD" w:rsidP="00654D85">
      <w:pPr>
        <w:pStyle w:val="Heading2"/>
        <w:rPr>
          <w:rFonts w:ascii="Times New Roman" w:eastAsiaTheme="minorEastAsia" w:hAnsi="Times New Roman"/>
          <w:sz w:val="24"/>
          <w:szCs w:val="24"/>
        </w:rPr>
      </w:pPr>
      <w:bookmarkStart w:id="29" w:name="_Toc337713901"/>
      <w:bookmarkStart w:id="30" w:name="_Toc338060311"/>
      <w:bookmarkStart w:id="31" w:name="_Toc338079260"/>
      <w:bookmarkStart w:id="32" w:name="_Toc343552967"/>
      <w:bookmarkStart w:id="33" w:name="_Toc343555197"/>
      <w:bookmarkStart w:id="34" w:name="_Toc350508073"/>
      <w:r>
        <w:rPr>
          <w:rFonts w:ascii="Times New Roman" w:eastAsiaTheme="minorEastAsia" w:hAnsiTheme="minorEastAsia" w:hint="eastAsia"/>
          <w:sz w:val="24"/>
          <w:szCs w:val="24"/>
        </w:rPr>
        <w:t>七</w:t>
      </w:r>
      <w:r w:rsidR="00591C83" w:rsidRPr="005A60DB">
        <w:rPr>
          <w:rFonts w:ascii="Times New Roman" w:eastAsiaTheme="minorEastAsia" w:hAnsiTheme="minorEastAsia"/>
          <w:sz w:val="24"/>
          <w:szCs w:val="24"/>
        </w:rPr>
        <w:t>、允许当事人对技术侵权责任作出约定</w:t>
      </w:r>
      <w:bookmarkEnd w:id="29"/>
      <w:bookmarkEnd w:id="30"/>
      <w:bookmarkEnd w:id="31"/>
      <w:bookmarkEnd w:id="32"/>
      <w:bookmarkEnd w:id="33"/>
      <w:bookmarkEnd w:id="34"/>
    </w:p>
    <w:p w:rsidR="00591C83" w:rsidRPr="005A60DB" w:rsidRDefault="00591C83" w:rsidP="005A60DB">
      <w:pPr>
        <w:ind w:firstLineChars="200" w:firstLine="480"/>
        <w:rPr>
          <w:rFonts w:ascii="Times New Roman" w:eastAsiaTheme="minorEastAsia" w:hAnsi="Times New Roman"/>
          <w:sz w:val="24"/>
          <w:szCs w:val="24"/>
        </w:rPr>
      </w:pPr>
      <w:r w:rsidRPr="005A60DB">
        <w:rPr>
          <w:rFonts w:ascii="Times New Roman" w:eastAsiaTheme="minorEastAsia" w:hAnsiTheme="minorEastAsia"/>
          <w:sz w:val="24"/>
          <w:szCs w:val="24"/>
        </w:rPr>
        <w:t>《条例》第</w:t>
      </w:r>
      <w:r w:rsidRPr="005A60DB">
        <w:rPr>
          <w:rFonts w:ascii="Times New Roman" w:eastAsiaTheme="minorEastAsia" w:hAnsi="Times New Roman"/>
          <w:sz w:val="24"/>
          <w:szCs w:val="24"/>
        </w:rPr>
        <w:t>24</w:t>
      </w:r>
      <w:r w:rsidRPr="005A60DB">
        <w:rPr>
          <w:rFonts w:ascii="Times New Roman" w:eastAsiaTheme="minorEastAsia" w:hAnsiTheme="minorEastAsia"/>
          <w:sz w:val="24"/>
          <w:szCs w:val="24"/>
        </w:rPr>
        <w:t>条规定，技术进口合同的受让人按照合同约定使用让与人提供的技术，侵害他人合法权益的，由让与人承担责任。因为与《合同法》第</w:t>
      </w:r>
      <w:r w:rsidRPr="005A60DB">
        <w:rPr>
          <w:rFonts w:ascii="Times New Roman" w:eastAsiaTheme="minorEastAsia" w:hAnsi="Times New Roman"/>
          <w:sz w:val="24"/>
          <w:szCs w:val="24"/>
        </w:rPr>
        <w:t>353</w:t>
      </w:r>
      <w:r w:rsidRPr="005A60DB">
        <w:rPr>
          <w:rFonts w:ascii="Times New Roman" w:eastAsiaTheme="minorEastAsia" w:hAnsiTheme="minorEastAsia"/>
          <w:sz w:val="24"/>
          <w:szCs w:val="24"/>
        </w:rPr>
        <w:t>条规定</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受让人按照约定实施专利、使用技术秘密侵害他人合法权益的，由让与人承担责任，但当事人另有约定的除外</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相抵触；同时，从尊重当事人意思自治的角度考虑，规定当事人对责任作出约定并不违反国家利益。因此，建议作出符合《合同法》的修改：</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技术进口合同的受让人按照合同约定使用让与人提供的技术，侵害他人合法权益的，由让与人承担责任，但当事人另有约定的除外。</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或者，删除《条例》</w:t>
      </w:r>
      <w:r w:rsidRPr="005A60DB">
        <w:rPr>
          <w:rFonts w:ascii="Times New Roman" w:eastAsiaTheme="minorEastAsia" w:hAnsi="Times New Roman"/>
          <w:sz w:val="24"/>
          <w:szCs w:val="24"/>
        </w:rPr>
        <w:t>24</w:t>
      </w:r>
      <w:r w:rsidRPr="005A60DB">
        <w:rPr>
          <w:rFonts w:ascii="Times New Roman" w:eastAsiaTheme="minorEastAsia" w:hAnsiTheme="minorEastAsia"/>
          <w:sz w:val="24"/>
          <w:szCs w:val="24"/>
        </w:rPr>
        <w:t>、</w:t>
      </w:r>
      <w:r w:rsidRPr="005A60DB">
        <w:rPr>
          <w:rFonts w:ascii="Times New Roman" w:eastAsiaTheme="minorEastAsia" w:hAnsi="Times New Roman"/>
          <w:sz w:val="24"/>
          <w:szCs w:val="24"/>
        </w:rPr>
        <w:t>25</w:t>
      </w:r>
      <w:r w:rsidRPr="005A60DB">
        <w:rPr>
          <w:rFonts w:ascii="Times New Roman" w:eastAsiaTheme="minorEastAsia" w:hAnsiTheme="minorEastAsia"/>
          <w:sz w:val="24"/>
          <w:szCs w:val="24"/>
        </w:rPr>
        <w:t>、</w:t>
      </w:r>
      <w:r w:rsidRPr="005A60DB">
        <w:rPr>
          <w:rFonts w:ascii="Times New Roman" w:eastAsiaTheme="minorEastAsia" w:hAnsi="Times New Roman"/>
          <w:sz w:val="24"/>
          <w:szCs w:val="24"/>
        </w:rPr>
        <w:t>27</w:t>
      </w:r>
      <w:r w:rsidRPr="005A60DB">
        <w:rPr>
          <w:rFonts w:ascii="Times New Roman" w:eastAsiaTheme="minorEastAsia" w:hAnsiTheme="minorEastAsia"/>
          <w:sz w:val="24"/>
          <w:szCs w:val="24"/>
        </w:rPr>
        <w:t>条。</w:t>
      </w:r>
    </w:p>
    <w:p w:rsidR="00591C83" w:rsidRPr="005A60DB" w:rsidRDefault="00523ACD" w:rsidP="00654D85">
      <w:pPr>
        <w:pStyle w:val="Heading2"/>
        <w:rPr>
          <w:rFonts w:ascii="Times New Roman" w:eastAsiaTheme="minorEastAsia" w:hAnsi="Times New Roman"/>
          <w:sz w:val="24"/>
          <w:szCs w:val="24"/>
        </w:rPr>
      </w:pPr>
      <w:bookmarkStart w:id="35" w:name="_Toc338060312"/>
      <w:bookmarkStart w:id="36" w:name="_Toc338079261"/>
      <w:bookmarkStart w:id="37" w:name="_Toc343552968"/>
      <w:bookmarkStart w:id="38" w:name="_Toc343555198"/>
      <w:bookmarkStart w:id="39" w:name="_Toc350508074"/>
      <w:r>
        <w:rPr>
          <w:rFonts w:ascii="Times New Roman" w:eastAsiaTheme="minorEastAsia" w:hAnsiTheme="minorEastAsia" w:hint="eastAsia"/>
          <w:sz w:val="24"/>
          <w:szCs w:val="24"/>
        </w:rPr>
        <w:t>八</w:t>
      </w:r>
      <w:r w:rsidR="00591C83" w:rsidRPr="005A60DB">
        <w:rPr>
          <w:rFonts w:ascii="Times New Roman" w:eastAsiaTheme="minorEastAsia" w:hAnsiTheme="minorEastAsia"/>
          <w:sz w:val="24"/>
          <w:szCs w:val="24"/>
        </w:rPr>
        <w:t>、明确技术进出口合同法律适用的范围</w:t>
      </w:r>
      <w:bookmarkEnd w:id="35"/>
      <w:bookmarkEnd w:id="36"/>
      <w:bookmarkEnd w:id="37"/>
      <w:bookmarkEnd w:id="38"/>
      <w:bookmarkEnd w:id="39"/>
    </w:p>
    <w:p w:rsidR="00591C83" w:rsidRPr="005A60DB" w:rsidRDefault="00591C83" w:rsidP="00591C83">
      <w:pPr>
        <w:ind w:firstLine="560"/>
        <w:rPr>
          <w:rFonts w:ascii="Times New Roman" w:eastAsiaTheme="minorEastAsia" w:hAnsi="Times New Roman"/>
          <w:sz w:val="24"/>
          <w:szCs w:val="24"/>
        </w:rPr>
      </w:pPr>
      <w:r w:rsidRPr="005A60DB">
        <w:rPr>
          <w:rFonts w:ascii="Times New Roman" w:eastAsiaTheme="minorEastAsia" w:hAnsiTheme="minorEastAsia"/>
          <w:sz w:val="24"/>
          <w:szCs w:val="24"/>
        </w:rPr>
        <w:t>在技术进出口合同争议的法律适用方面，普遍性的做法是允许当事人选择适用其合同关系的法律。但对于《条例》中的强制性条款是否允许当事人通过合同约定来排除适用，根据中国早期在参与起草联合国《国际技术转让行动守则（草案）》中的观点，是否定的。</w:t>
      </w:r>
    </w:p>
    <w:p w:rsidR="00591C83" w:rsidRPr="005A60DB" w:rsidRDefault="00591C83" w:rsidP="00591C83">
      <w:pPr>
        <w:ind w:firstLine="560"/>
        <w:rPr>
          <w:rFonts w:ascii="Times New Roman" w:eastAsiaTheme="minorEastAsia" w:hAnsi="Times New Roman"/>
          <w:sz w:val="24"/>
          <w:szCs w:val="24"/>
        </w:rPr>
      </w:pPr>
      <w:r w:rsidRPr="005A60DB">
        <w:rPr>
          <w:rFonts w:ascii="Times New Roman" w:eastAsiaTheme="minorEastAsia" w:hAnsiTheme="minorEastAsia"/>
          <w:sz w:val="24"/>
          <w:szCs w:val="24"/>
        </w:rPr>
        <w:t>但由于目前对技术进出口合同的审查主要限于</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真实性</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审查，合同中的一些条款是否违反《条例》的强制性规定，已经不</w:t>
      </w:r>
      <w:r w:rsidR="00806653" w:rsidRPr="005A60DB">
        <w:rPr>
          <w:rFonts w:ascii="Times New Roman" w:eastAsiaTheme="minorEastAsia" w:hAnsiTheme="minorEastAsia"/>
          <w:sz w:val="24"/>
          <w:szCs w:val="24"/>
        </w:rPr>
        <w:t>在</w:t>
      </w:r>
      <w:r w:rsidRPr="005A60DB">
        <w:rPr>
          <w:rFonts w:ascii="Times New Roman" w:eastAsiaTheme="minorEastAsia" w:hAnsiTheme="minorEastAsia"/>
          <w:sz w:val="24"/>
          <w:szCs w:val="24"/>
        </w:rPr>
        <w:t>审查之列。因此，如果合同中的法律适用条款规定不是适用中国法律来解决争议，那么《条例》中的强制性规定则不应适用于技术进出口合同。</w:t>
      </w:r>
    </w:p>
    <w:p w:rsidR="00591C83" w:rsidRPr="005A60DB" w:rsidRDefault="00591C83" w:rsidP="00591C83">
      <w:pPr>
        <w:ind w:firstLine="560"/>
        <w:rPr>
          <w:rFonts w:ascii="Times New Roman" w:eastAsiaTheme="minorEastAsia" w:hAnsi="Times New Roman"/>
          <w:sz w:val="24"/>
          <w:szCs w:val="24"/>
        </w:rPr>
      </w:pPr>
      <w:r w:rsidRPr="005A60DB">
        <w:rPr>
          <w:rFonts w:ascii="Times New Roman" w:eastAsiaTheme="minorEastAsia" w:hAnsiTheme="minorEastAsia"/>
          <w:sz w:val="24"/>
          <w:szCs w:val="24"/>
        </w:rPr>
        <w:t>因此，建议在相关的法律中对技术进出口争议的法律适用作出规定：允许当事人通过合同约定来选择技术进出口合同的适用法律，当事人所选择的法律，适用于所有合同内容。</w:t>
      </w:r>
    </w:p>
    <w:p w:rsidR="00591C83" w:rsidRPr="005A60DB" w:rsidRDefault="00523ACD" w:rsidP="00654D85">
      <w:pPr>
        <w:pStyle w:val="Heading2"/>
        <w:rPr>
          <w:rFonts w:ascii="Times New Roman" w:eastAsiaTheme="minorEastAsia" w:hAnsi="Times New Roman"/>
          <w:sz w:val="24"/>
          <w:szCs w:val="24"/>
        </w:rPr>
      </w:pPr>
      <w:bookmarkStart w:id="40" w:name="_Toc350508075"/>
      <w:r>
        <w:rPr>
          <w:rFonts w:ascii="Times New Roman" w:eastAsiaTheme="minorEastAsia" w:hAnsiTheme="minorEastAsia" w:hint="eastAsia"/>
          <w:sz w:val="24"/>
          <w:szCs w:val="24"/>
        </w:rPr>
        <w:lastRenderedPageBreak/>
        <w:t>九</w:t>
      </w:r>
      <w:r w:rsidR="00591C83" w:rsidRPr="005A60DB">
        <w:rPr>
          <w:rFonts w:ascii="Times New Roman" w:eastAsiaTheme="minorEastAsia" w:hAnsiTheme="minorEastAsia"/>
          <w:sz w:val="24"/>
          <w:szCs w:val="24"/>
        </w:rPr>
        <w:t>、应允许当事人对后续改进的技术成果的权利归属进行自由约定</w:t>
      </w:r>
      <w:bookmarkEnd w:id="40"/>
    </w:p>
    <w:p w:rsidR="00591C83" w:rsidRPr="005A60DB" w:rsidRDefault="00591C83" w:rsidP="00591C83">
      <w:pPr>
        <w:ind w:firstLine="360"/>
        <w:rPr>
          <w:rFonts w:ascii="Times New Roman" w:eastAsiaTheme="minorEastAsia" w:hAnsi="Times New Roman"/>
          <w:sz w:val="24"/>
          <w:szCs w:val="24"/>
        </w:rPr>
      </w:pPr>
      <w:r w:rsidRPr="005A60DB">
        <w:rPr>
          <w:rFonts w:ascii="Times New Roman" w:eastAsiaTheme="minorEastAsia" w:hAnsiTheme="minorEastAsia"/>
          <w:sz w:val="24"/>
          <w:szCs w:val="24"/>
        </w:rPr>
        <w:t>根据《条例》第</w:t>
      </w:r>
      <w:r w:rsidRPr="005A60DB">
        <w:rPr>
          <w:rFonts w:ascii="Times New Roman" w:eastAsiaTheme="minorEastAsia" w:hAnsi="Times New Roman"/>
          <w:sz w:val="24"/>
          <w:szCs w:val="24"/>
        </w:rPr>
        <w:t>27</w:t>
      </w:r>
      <w:r w:rsidRPr="005A60DB">
        <w:rPr>
          <w:rFonts w:ascii="Times New Roman" w:eastAsiaTheme="minorEastAsia" w:hAnsiTheme="minorEastAsia"/>
          <w:sz w:val="24"/>
          <w:szCs w:val="24"/>
        </w:rPr>
        <w:t>条的规定，改进技术的成果在技术进口合同有效期内归改进方所有。在市场经济条件之下，机械地规定技术转让或许可合同项下改进技术成果的归属并不能够有效地促进技术贸易的增长，反而会干涉市场机制的有效发挥，因此，应允许技术合同双方当事人自由地对改进成果的归属做出约定。在现行法中，《合同法》第</w:t>
      </w:r>
      <w:r w:rsidRPr="005A60DB">
        <w:rPr>
          <w:rFonts w:ascii="Times New Roman" w:eastAsiaTheme="minorEastAsia" w:hAnsi="Times New Roman"/>
          <w:sz w:val="24"/>
          <w:szCs w:val="24"/>
        </w:rPr>
        <w:t>354</w:t>
      </w:r>
      <w:r w:rsidRPr="005A60DB">
        <w:rPr>
          <w:rFonts w:ascii="Times New Roman" w:eastAsiaTheme="minorEastAsia" w:hAnsiTheme="minorEastAsia"/>
          <w:sz w:val="24"/>
          <w:szCs w:val="24"/>
        </w:rPr>
        <w:t>条规定可约定改进技术的</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分享办法</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，没有约定，归改进方。并在第</w:t>
      </w:r>
      <w:r w:rsidRPr="005A60DB">
        <w:rPr>
          <w:rFonts w:ascii="Times New Roman" w:eastAsiaTheme="minorEastAsia" w:hAnsi="Times New Roman"/>
          <w:sz w:val="24"/>
          <w:szCs w:val="24"/>
        </w:rPr>
        <w:t>355</w:t>
      </w:r>
      <w:r w:rsidRPr="005A60DB">
        <w:rPr>
          <w:rFonts w:ascii="Times New Roman" w:eastAsiaTheme="minorEastAsia" w:hAnsiTheme="minorEastAsia"/>
          <w:sz w:val="24"/>
          <w:szCs w:val="24"/>
        </w:rPr>
        <w:t>条中规定</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另有规定的，依照其规定</w:t>
      </w:r>
      <w:r w:rsidRPr="005A60DB">
        <w:rPr>
          <w:rFonts w:ascii="Times New Roman" w:eastAsiaTheme="minorEastAsia" w:hAnsi="Times New Roman"/>
          <w:sz w:val="24"/>
          <w:szCs w:val="24"/>
        </w:rPr>
        <w:t>”</w:t>
      </w:r>
      <w:r w:rsidRPr="005A60DB">
        <w:rPr>
          <w:rFonts w:ascii="Times New Roman" w:eastAsiaTheme="minorEastAsia" w:hAnsiTheme="minorEastAsia"/>
          <w:sz w:val="24"/>
          <w:szCs w:val="24"/>
        </w:rPr>
        <w:t>。在未来的修法中，《条例》第</w:t>
      </w:r>
      <w:r w:rsidRPr="005A60DB">
        <w:rPr>
          <w:rFonts w:ascii="Times New Roman" w:eastAsiaTheme="minorEastAsia" w:hAnsi="Times New Roman"/>
          <w:sz w:val="24"/>
          <w:szCs w:val="24"/>
        </w:rPr>
        <w:t>27</w:t>
      </w:r>
      <w:r w:rsidRPr="005A60DB">
        <w:rPr>
          <w:rFonts w:ascii="Times New Roman" w:eastAsiaTheme="minorEastAsia" w:hAnsiTheme="minorEastAsia"/>
          <w:sz w:val="24"/>
          <w:szCs w:val="24"/>
        </w:rPr>
        <w:t>条的规定，或者可以直接删除，或者可以比照《合同法》第</w:t>
      </w:r>
      <w:r w:rsidRPr="005A60DB">
        <w:rPr>
          <w:rFonts w:ascii="Times New Roman" w:eastAsiaTheme="minorEastAsia" w:hAnsi="Times New Roman"/>
          <w:sz w:val="24"/>
          <w:szCs w:val="24"/>
        </w:rPr>
        <w:t>354</w:t>
      </w:r>
      <w:r w:rsidRPr="005A60DB">
        <w:rPr>
          <w:rFonts w:ascii="Times New Roman" w:eastAsiaTheme="minorEastAsia" w:hAnsiTheme="minorEastAsia"/>
          <w:sz w:val="24"/>
          <w:szCs w:val="24"/>
        </w:rPr>
        <w:t>条和地</w:t>
      </w:r>
      <w:r w:rsidRPr="005A60DB">
        <w:rPr>
          <w:rFonts w:ascii="Times New Roman" w:eastAsiaTheme="minorEastAsia" w:hAnsi="Times New Roman"/>
          <w:sz w:val="24"/>
          <w:szCs w:val="24"/>
        </w:rPr>
        <w:t>355</w:t>
      </w:r>
      <w:r w:rsidRPr="005A60DB">
        <w:rPr>
          <w:rFonts w:ascii="Times New Roman" w:eastAsiaTheme="minorEastAsia" w:hAnsiTheme="minorEastAsia"/>
          <w:sz w:val="24"/>
          <w:szCs w:val="24"/>
        </w:rPr>
        <w:t>条的规定重新进行规定。</w:t>
      </w:r>
    </w:p>
    <w:sectPr w:rsidR="00591C83" w:rsidRPr="005A60DB" w:rsidSect="00F16D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10DB" w:rsidRDefault="007C10DB" w:rsidP="00591C83">
      <w:r>
        <w:separator/>
      </w:r>
    </w:p>
  </w:endnote>
  <w:endnote w:type="continuationSeparator" w:id="0">
    <w:p w:rsidR="007C10DB" w:rsidRDefault="007C10DB" w:rsidP="00591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10DB" w:rsidRDefault="007C10DB" w:rsidP="00591C83">
      <w:r>
        <w:separator/>
      </w:r>
    </w:p>
  </w:footnote>
  <w:footnote w:type="continuationSeparator" w:id="0">
    <w:p w:rsidR="007C10DB" w:rsidRDefault="007C10DB" w:rsidP="00591C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EE5582"/>
    <w:multiLevelType w:val="hybridMultilevel"/>
    <w:tmpl w:val="B9E28F1C"/>
    <w:lvl w:ilvl="0" w:tplc="E0CEDFF0">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C83"/>
    <w:rsid w:val="00007543"/>
    <w:rsid w:val="000F6A78"/>
    <w:rsid w:val="00101C23"/>
    <w:rsid w:val="00102232"/>
    <w:rsid w:val="00105D85"/>
    <w:rsid w:val="00121CED"/>
    <w:rsid w:val="00161B63"/>
    <w:rsid w:val="00190AE1"/>
    <w:rsid w:val="001E547E"/>
    <w:rsid w:val="00247EDC"/>
    <w:rsid w:val="00290F98"/>
    <w:rsid w:val="002A6D98"/>
    <w:rsid w:val="00313646"/>
    <w:rsid w:val="00327B96"/>
    <w:rsid w:val="0038657F"/>
    <w:rsid w:val="0039336B"/>
    <w:rsid w:val="003A2196"/>
    <w:rsid w:val="003C1468"/>
    <w:rsid w:val="003E488D"/>
    <w:rsid w:val="003F3894"/>
    <w:rsid w:val="00414BBA"/>
    <w:rsid w:val="00427DB7"/>
    <w:rsid w:val="00432019"/>
    <w:rsid w:val="00456A1F"/>
    <w:rsid w:val="0048159D"/>
    <w:rsid w:val="00483332"/>
    <w:rsid w:val="004943A0"/>
    <w:rsid w:val="004F52D5"/>
    <w:rsid w:val="00513B71"/>
    <w:rsid w:val="00523ACD"/>
    <w:rsid w:val="00531928"/>
    <w:rsid w:val="00532CCA"/>
    <w:rsid w:val="0058716B"/>
    <w:rsid w:val="00591C83"/>
    <w:rsid w:val="005A4529"/>
    <w:rsid w:val="005A60DB"/>
    <w:rsid w:val="006113E7"/>
    <w:rsid w:val="00630E8F"/>
    <w:rsid w:val="0064169B"/>
    <w:rsid w:val="006438FE"/>
    <w:rsid w:val="006542F9"/>
    <w:rsid w:val="00654D85"/>
    <w:rsid w:val="006D55CB"/>
    <w:rsid w:val="00775812"/>
    <w:rsid w:val="007C10DB"/>
    <w:rsid w:val="007D2317"/>
    <w:rsid w:val="00806653"/>
    <w:rsid w:val="00830BE2"/>
    <w:rsid w:val="008727A9"/>
    <w:rsid w:val="0087463B"/>
    <w:rsid w:val="008F2E71"/>
    <w:rsid w:val="00954F50"/>
    <w:rsid w:val="00956B7E"/>
    <w:rsid w:val="00980E30"/>
    <w:rsid w:val="009B19E8"/>
    <w:rsid w:val="009C160F"/>
    <w:rsid w:val="009C4EBC"/>
    <w:rsid w:val="00AA39C5"/>
    <w:rsid w:val="00AC5388"/>
    <w:rsid w:val="00B61372"/>
    <w:rsid w:val="00B64ADB"/>
    <w:rsid w:val="00CA7C37"/>
    <w:rsid w:val="00D84D38"/>
    <w:rsid w:val="00DC1FA0"/>
    <w:rsid w:val="00DE6CCC"/>
    <w:rsid w:val="00E2265C"/>
    <w:rsid w:val="00E64C9D"/>
    <w:rsid w:val="00E744F5"/>
    <w:rsid w:val="00EF0247"/>
    <w:rsid w:val="00EF5729"/>
    <w:rsid w:val="00F12D8A"/>
    <w:rsid w:val="00F16DA5"/>
    <w:rsid w:val="00F550B4"/>
    <w:rsid w:val="00F72E34"/>
    <w:rsid w:val="00FC2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E64F0AD-2352-49E7-B75B-EE79F7AB3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91C83"/>
    <w:pPr>
      <w:widowControl w:val="0"/>
      <w:jc w:val="both"/>
    </w:pPr>
    <w:rPr>
      <w:rFonts w:ascii="Calibri" w:eastAsia="SimSun" w:hAnsi="Calibri" w:cs="Times New Roman"/>
    </w:rPr>
  </w:style>
  <w:style w:type="paragraph" w:styleId="Heading1">
    <w:name w:val="heading 1"/>
    <w:basedOn w:val="Normal"/>
    <w:next w:val="Normal"/>
    <w:link w:val="Heading1Char"/>
    <w:uiPriority w:val="9"/>
    <w:qFormat/>
    <w:rsid w:val="00591C8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qFormat/>
    <w:rsid w:val="00591C83"/>
    <w:pPr>
      <w:keepNext/>
      <w:keepLines/>
      <w:spacing w:before="260" w:after="260" w:line="416" w:lineRule="auto"/>
      <w:outlineLvl w:val="1"/>
    </w:pPr>
    <w:rPr>
      <w:rFonts w:ascii="Cambria" w:hAnsi="Cambria"/>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91C8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semiHidden/>
    <w:rsid w:val="00591C83"/>
    <w:rPr>
      <w:sz w:val="18"/>
      <w:szCs w:val="18"/>
    </w:rPr>
  </w:style>
  <w:style w:type="paragraph" w:styleId="Footer">
    <w:name w:val="footer"/>
    <w:basedOn w:val="Normal"/>
    <w:link w:val="FooterChar"/>
    <w:uiPriority w:val="99"/>
    <w:semiHidden/>
    <w:unhideWhenUsed/>
    <w:rsid w:val="00591C8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FooterChar">
    <w:name w:val="Footer Char"/>
    <w:basedOn w:val="DefaultParagraphFont"/>
    <w:link w:val="Footer"/>
    <w:uiPriority w:val="99"/>
    <w:semiHidden/>
    <w:rsid w:val="00591C83"/>
    <w:rPr>
      <w:sz w:val="18"/>
      <w:szCs w:val="18"/>
    </w:rPr>
  </w:style>
  <w:style w:type="character" w:customStyle="1" w:styleId="Heading1Char">
    <w:name w:val="Heading 1 Char"/>
    <w:basedOn w:val="DefaultParagraphFont"/>
    <w:link w:val="Heading1"/>
    <w:uiPriority w:val="9"/>
    <w:rsid w:val="00591C83"/>
    <w:rPr>
      <w:rFonts w:ascii="Calibri" w:eastAsia="SimSun" w:hAnsi="Calibri" w:cs="Times New Roman"/>
      <w:b/>
      <w:bCs/>
      <w:kern w:val="44"/>
      <w:sz w:val="44"/>
      <w:szCs w:val="44"/>
    </w:rPr>
  </w:style>
  <w:style w:type="character" w:customStyle="1" w:styleId="Heading2Char">
    <w:name w:val="Heading 2 Char"/>
    <w:basedOn w:val="DefaultParagraphFont"/>
    <w:link w:val="Heading2"/>
    <w:uiPriority w:val="9"/>
    <w:rsid w:val="00591C83"/>
    <w:rPr>
      <w:rFonts w:ascii="Cambria" w:eastAsia="SimSun" w:hAnsi="Cambria" w:cs="Times New Roman"/>
      <w:b/>
      <w:bCs/>
      <w:sz w:val="32"/>
      <w:szCs w:val="32"/>
    </w:rPr>
  </w:style>
  <w:style w:type="paragraph" w:styleId="BalloonText">
    <w:name w:val="Balloon Text"/>
    <w:basedOn w:val="Normal"/>
    <w:link w:val="BalloonTextChar"/>
    <w:uiPriority w:val="99"/>
    <w:semiHidden/>
    <w:unhideWhenUsed/>
    <w:rsid w:val="00DC1F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1FA0"/>
    <w:rPr>
      <w:rFonts w:ascii="Segoe UI" w:eastAsia="SimSun" w:hAnsi="Segoe UI" w:cs="Segoe UI"/>
      <w:sz w:val="18"/>
      <w:szCs w:val="18"/>
    </w:rPr>
  </w:style>
  <w:style w:type="paragraph" w:styleId="ListParagraph">
    <w:name w:val="List Paragraph"/>
    <w:basedOn w:val="Normal"/>
    <w:uiPriority w:val="34"/>
    <w:qFormat/>
    <w:rsid w:val="003865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706</Words>
  <Characters>4026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Mark Cohen</cp:lastModifiedBy>
  <cp:revision>2</cp:revision>
  <cp:lastPrinted>2016-03-11T03:42:00Z</cp:lastPrinted>
  <dcterms:created xsi:type="dcterms:W3CDTF">2016-11-06T01:13:00Z</dcterms:created>
  <dcterms:modified xsi:type="dcterms:W3CDTF">2016-11-06T01:13:00Z</dcterms:modified>
</cp:coreProperties>
</file>