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293EB" w14:textId="3037094F" w:rsidR="007C5AFC" w:rsidRDefault="007C5AFC" w:rsidP="007C5AFC">
      <w:pPr>
        <w:pStyle w:val="NoSpacing"/>
        <w:snapToGrid w:val="0"/>
        <w:jc w:val="center"/>
        <w:rPr>
          <w:rFonts w:cstheme="minorHAnsi"/>
          <w:b/>
          <w:szCs w:val="24"/>
        </w:rPr>
      </w:pPr>
      <w:bookmarkStart w:id="0" w:name="_GoBack"/>
      <w:bookmarkEnd w:id="0"/>
      <w:r w:rsidRPr="00547696">
        <w:rPr>
          <w:rFonts w:cstheme="minorHAnsi"/>
          <w:b/>
          <w:szCs w:val="24"/>
        </w:rPr>
        <w:t xml:space="preserve">Trademark Administrative Grant and Affirmation of Right Cases </w:t>
      </w:r>
      <w:r w:rsidR="00E46261">
        <w:rPr>
          <w:rFonts w:cstheme="minorHAnsi"/>
          <w:b/>
          <w:szCs w:val="24"/>
        </w:rPr>
        <w:t>Vacated</w:t>
      </w:r>
      <w:r w:rsidRPr="00547696">
        <w:rPr>
          <w:rFonts w:cstheme="minorHAnsi"/>
          <w:b/>
          <w:szCs w:val="24"/>
        </w:rPr>
        <w:t xml:space="preserve"> the Trademark Review and Adjudication Board</w:t>
      </w:r>
      <w:r w:rsidR="00E46261">
        <w:rPr>
          <w:rFonts w:cstheme="minorHAnsi"/>
          <w:b/>
          <w:szCs w:val="24"/>
        </w:rPr>
        <w:t>’s</w:t>
      </w:r>
      <w:r w:rsidRPr="00547696">
        <w:rPr>
          <w:rFonts w:cstheme="minorHAnsi"/>
          <w:b/>
          <w:szCs w:val="24"/>
        </w:rPr>
        <w:t xml:space="preserve"> Administrative Decisions </w:t>
      </w:r>
      <w:r w:rsidR="004B6A86" w:rsidRPr="00547696">
        <w:rPr>
          <w:rFonts w:cstheme="minorHAnsi"/>
          <w:b/>
          <w:szCs w:val="24"/>
        </w:rPr>
        <w:t>from</w:t>
      </w:r>
      <w:r w:rsidRPr="00547696">
        <w:rPr>
          <w:rFonts w:cstheme="minorHAnsi"/>
          <w:b/>
          <w:szCs w:val="24"/>
        </w:rPr>
        <w:t xml:space="preserve"> 2011 – 2015</w:t>
      </w:r>
    </w:p>
    <w:p w14:paraId="4A6CDC5D" w14:textId="77777777" w:rsidR="00E46261" w:rsidRPr="00547696" w:rsidRDefault="00E46261" w:rsidP="007C5AFC">
      <w:pPr>
        <w:pStyle w:val="NoSpacing"/>
        <w:snapToGrid w:val="0"/>
        <w:jc w:val="center"/>
        <w:rPr>
          <w:rFonts w:cstheme="minorHAnsi"/>
          <w:b/>
          <w:szCs w:val="24"/>
        </w:rPr>
      </w:pPr>
    </w:p>
    <w:p w14:paraId="357E7C83" w14:textId="5F899E1B" w:rsidR="00E46261" w:rsidRDefault="00E46261" w:rsidP="00E46261">
      <w:pPr>
        <w:pStyle w:val="ListParagraph"/>
        <w:numPr>
          <w:ilvl w:val="0"/>
          <w:numId w:val="1"/>
        </w:numPr>
        <w:ind w:left="270" w:hanging="27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766C0B" w:rsidRPr="006F2788">
        <w:rPr>
          <w:rFonts w:cstheme="minorHAnsi"/>
          <w:b/>
          <w:sz w:val="24"/>
          <w:szCs w:val="24"/>
        </w:rPr>
        <w:t>Data Source</w:t>
      </w:r>
    </w:p>
    <w:p w14:paraId="78114A23" w14:textId="507B8BD9" w:rsidR="00E46261" w:rsidRPr="00E46261" w:rsidRDefault="00255A76" w:rsidP="00E46261">
      <w:pPr>
        <w:pStyle w:val="ListParagraph"/>
        <w:numPr>
          <w:ilvl w:val="1"/>
          <w:numId w:val="1"/>
        </w:numPr>
        <w:ind w:left="720" w:hanging="270"/>
        <w:rPr>
          <w:rStyle w:val="Hyperlink"/>
          <w:rFonts w:cstheme="minorHAnsi"/>
          <w:b/>
          <w:color w:val="auto"/>
          <w:sz w:val="24"/>
          <w:szCs w:val="24"/>
          <w:u w:val="none"/>
        </w:rPr>
      </w:pPr>
      <w:r w:rsidRPr="00E46261">
        <w:rPr>
          <w:rFonts w:cstheme="minorHAnsi"/>
          <w:sz w:val="24"/>
          <w:szCs w:val="24"/>
        </w:rPr>
        <w:t xml:space="preserve">The data below </w:t>
      </w:r>
      <w:r w:rsidR="00472077" w:rsidRPr="00E46261">
        <w:rPr>
          <w:rFonts w:cstheme="minorHAnsi"/>
          <w:sz w:val="24"/>
          <w:szCs w:val="24"/>
        </w:rPr>
        <w:t>are</w:t>
      </w:r>
      <w:r w:rsidRPr="00E46261">
        <w:rPr>
          <w:rFonts w:cstheme="minorHAnsi"/>
          <w:sz w:val="24"/>
          <w:szCs w:val="24"/>
        </w:rPr>
        <w:t xml:space="preserve"> </w:t>
      </w:r>
      <w:r w:rsidR="00472077" w:rsidRPr="00E46261">
        <w:rPr>
          <w:rFonts w:cstheme="minorHAnsi"/>
          <w:sz w:val="24"/>
          <w:szCs w:val="24"/>
        </w:rPr>
        <w:t xml:space="preserve">retrieved from </w:t>
      </w:r>
      <w:proofErr w:type="spellStart"/>
      <w:r w:rsidRPr="00E46261">
        <w:rPr>
          <w:rFonts w:cstheme="minorHAnsi"/>
          <w:sz w:val="24"/>
          <w:szCs w:val="24"/>
        </w:rPr>
        <w:t>IPHouse’s</w:t>
      </w:r>
      <w:proofErr w:type="spellEnd"/>
      <w:r w:rsidRPr="00E46261">
        <w:rPr>
          <w:rFonts w:cstheme="minorHAnsi"/>
          <w:sz w:val="24"/>
          <w:szCs w:val="24"/>
        </w:rPr>
        <w:t xml:space="preserve"> database (</w:t>
      </w:r>
      <w:hyperlink r:id="rId5" w:history="1">
        <w:r w:rsidRPr="00E46261">
          <w:rPr>
            <w:rStyle w:val="Hyperlink"/>
            <w:rFonts w:cstheme="minorHAnsi"/>
            <w:sz w:val="24"/>
            <w:szCs w:val="24"/>
          </w:rPr>
          <w:t>www.iphousecn)</w:t>
        </w:r>
      </w:hyperlink>
      <w:r w:rsidR="00472077" w:rsidRPr="00E46261">
        <w:rPr>
          <w:rStyle w:val="Hyperlink"/>
          <w:rFonts w:cstheme="minorHAnsi"/>
          <w:sz w:val="24"/>
          <w:szCs w:val="24"/>
          <w:u w:val="none"/>
        </w:rPr>
        <w:t>.</w:t>
      </w:r>
    </w:p>
    <w:p w14:paraId="58400086" w14:textId="4A5613BB" w:rsidR="006E2C67" w:rsidRPr="00E46261" w:rsidRDefault="00255A76" w:rsidP="00E46261">
      <w:pPr>
        <w:pStyle w:val="ListParagraph"/>
        <w:numPr>
          <w:ilvl w:val="1"/>
          <w:numId w:val="1"/>
        </w:numPr>
        <w:ind w:left="720" w:hanging="270"/>
        <w:rPr>
          <w:rFonts w:cstheme="minorHAnsi"/>
          <w:sz w:val="24"/>
          <w:szCs w:val="24"/>
        </w:rPr>
      </w:pPr>
      <w:r w:rsidRPr="00E46261">
        <w:rPr>
          <w:rFonts w:cstheme="minorHAnsi"/>
          <w:sz w:val="24"/>
          <w:szCs w:val="24"/>
        </w:rPr>
        <w:t xml:space="preserve">The data below </w:t>
      </w:r>
      <w:r w:rsidR="00472077" w:rsidRPr="00E46261">
        <w:rPr>
          <w:rFonts w:cstheme="minorHAnsi"/>
          <w:sz w:val="24"/>
          <w:szCs w:val="24"/>
        </w:rPr>
        <w:t xml:space="preserve">are </w:t>
      </w:r>
      <w:r w:rsidRPr="00E46261">
        <w:rPr>
          <w:rFonts w:cstheme="minorHAnsi"/>
          <w:sz w:val="24"/>
          <w:szCs w:val="24"/>
        </w:rPr>
        <w:t>all first instance cases unless otherwise explained. This data do not</w:t>
      </w:r>
      <w:r w:rsidR="006E2C67" w:rsidRPr="00E46261">
        <w:rPr>
          <w:rFonts w:cstheme="minorHAnsi"/>
          <w:sz w:val="24"/>
          <w:szCs w:val="24"/>
        </w:rPr>
        <w:t xml:space="preserve"> include second instance cases.</w:t>
      </w:r>
    </w:p>
    <w:p w14:paraId="7853F41C" w14:textId="77777777" w:rsidR="006F2788" w:rsidRDefault="006F2788" w:rsidP="006F2788">
      <w:pPr>
        <w:pStyle w:val="ListParagraph"/>
        <w:ind w:left="1080"/>
        <w:rPr>
          <w:rFonts w:cstheme="minorHAnsi"/>
          <w:sz w:val="24"/>
          <w:szCs w:val="24"/>
        </w:rPr>
      </w:pPr>
    </w:p>
    <w:p w14:paraId="50C898C9" w14:textId="791F7B7C" w:rsidR="009116FC" w:rsidRPr="006F2788" w:rsidRDefault="00E46261" w:rsidP="00E46261">
      <w:pPr>
        <w:pStyle w:val="ListParagraph"/>
        <w:numPr>
          <w:ilvl w:val="0"/>
          <w:numId w:val="1"/>
        </w:numPr>
        <w:ind w:left="270" w:hanging="27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6E2C67" w:rsidRPr="006F2788">
        <w:rPr>
          <w:rFonts w:cstheme="minorHAnsi"/>
          <w:b/>
          <w:sz w:val="24"/>
          <w:szCs w:val="24"/>
        </w:rPr>
        <w:t>Total Data</w:t>
      </w:r>
    </w:p>
    <w:p w14:paraId="117F34F0" w14:textId="77777777" w:rsidR="006E2C67" w:rsidRDefault="00961B63" w:rsidP="00E46261">
      <w:pPr>
        <w:pStyle w:val="ListParagraph"/>
        <w:numPr>
          <w:ilvl w:val="1"/>
          <w:numId w:val="1"/>
        </w:numPr>
        <w:snapToGrid w:val="0"/>
        <w:ind w:left="720" w:hanging="270"/>
        <w:rPr>
          <w:rFonts w:cstheme="minorHAnsi"/>
          <w:sz w:val="24"/>
          <w:szCs w:val="24"/>
        </w:rPr>
      </w:pPr>
      <w:r w:rsidRPr="006E2C67">
        <w:rPr>
          <w:rFonts w:cstheme="minorHAnsi"/>
          <w:sz w:val="24"/>
          <w:szCs w:val="24"/>
        </w:rPr>
        <w:t>2011 – 2015 Trademark administrative grant and affirmation of right cases: 13,688</w:t>
      </w:r>
      <w:r w:rsidR="004622E0" w:rsidRPr="006E2C67">
        <w:rPr>
          <w:rFonts w:cstheme="minorHAnsi"/>
          <w:sz w:val="24"/>
          <w:szCs w:val="24"/>
        </w:rPr>
        <w:t xml:space="preserve"> </w:t>
      </w:r>
    </w:p>
    <w:p w14:paraId="3FC95CF8" w14:textId="77777777" w:rsidR="006E2C67" w:rsidRDefault="006E2C67" w:rsidP="00E46261">
      <w:pPr>
        <w:pStyle w:val="ListParagraph"/>
        <w:numPr>
          <w:ilvl w:val="2"/>
          <w:numId w:val="1"/>
        </w:numPr>
        <w:snapToGrid w:val="0"/>
        <w:ind w:left="1080" w:hanging="9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F20C59" w:rsidRPr="006E2C67">
        <w:rPr>
          <w:rFonts w:cstheme="minorHAnsi"/>
          <w:sz w:val="24"/>
          <w:szCs w:val="24"/>
        </w:rPr>
        <w:t>ecision</w:t>
      </w:r>
      <w:r w:rsidR="001B62B3" w:rsidRPr="006E2C67">
        <w:rPr>
          <w:rFonts w:cstheme="minorHAnsi"/>
          <w:sz w:val="24"/>
          <w:szCs w:val="24"/>
        </w:rPr>
        <w:t>s</w:t>
      </w:r>
      <w:r w:rsidR="004622E0" w:rsidRPr="006E2C67">
        <w:rPr>
          <w:rFonts w:cstheme="minorHAnsi"/>
          <w:sz w:val="24"/>
          <w:szCs w:val="24"/>
        </w:rPr>
        <w:t>: 12,642</w:t>
      </w:r>
    </w:p>
    <w:p w14:paraId="5558105E" w14:textId="77777777" w:rsidR="006E2C67" w:rsidRDefault="004622E0" w:rsidP="00E46261">
      <w:pPr>
        <w:pStyle w:val="ListParagraph"/>
        <w:numPr>
          <w:ilvl w:val="2"/>
          <w:numId w:val="1"/>
        </w:numPr>
        <w:snapToGrid w:val="0"/>
        <w:ind w:left="1080" w:hanging="90"/>
        <w:rPr>
          <w:rFonts w:cstheme="minorHAnsi"/>
          <w:sz w:val="24"/>
          <w:szCs w:val="24"/>
        </w:rPr>
      </w:pPr>
      <w:r w:rsidRPr="006E2C67">
        <w:rPr>
          <w:rFonts w:cstheme="minorHAnsi"/>
          <w:sz w:val="24"/>
          <w:szCs w:val="24"/>
        </w:rPr>
        <w:t>Reversed administrative dec</w:t>
      </w:r>
      <w:r w:rsidR="00F20C59" w:rsidRPr="006E2C67">
        <w:rPr>
          <w:rFonts w:cstheme="minorHAnsi"/>
          <w:sz w:val="24"/>
          <w:szCs w:val="24"/>
        </w:rPr>
        <w:t>isions: 2,254</w:t>
      </w:r>
    </w:p>
    <w:p w14:paraId="076E5C50" w14:textId="77777777" w:rsidR="006D7340" w:rsidRDefault="00F20C59" w:rsidP="00E46261">
      <w:pPr>
        <w:pStyle w:val="ListParagraph"/>
        <w:numPr>
          <w:ilvl w:val="2"/>
          <w:numId w:val="1"/>
        </w:numPr>
        <w:snapToGrid w:val="0"/>
        <w:ind w:left="1080" w:hanging="90"/>
        <w:rPr>
          <w:rFonts w:cstheme="minorHAnsi"/>
          <w:sz w:val="24"/>
          <w:szCs w:val="24"/>
        </w:rPr>
      </w:pPr>
      <w:r w:rsidRPr="006E2C67">
        <w:rPr>
          <w:rFonts w:cstheme="minorHAnsi"/>
          <w:sz w:val="24"/>
          <w:szCs w:val="24"/>
        </w:rPr>
        <w:t xml:space="preserve">Rate of reversing administrative decision: </w:t>
      </w:r>
      <w:r w:rsidRPr="00C7198E">
        <w:rPr>
          <w:rFonts w:cstheme="minorHAnsi"/>
          <w:b/>
          <w:sz w:val="24"/>
          <w:szCs w:val="24"/>
        </w:rPr>
        <w:t>17.83%</w:t>
      </w:r>
      <w:r w:rsidRPr="006E2C67">
        <w:rPr>
          <w:rFonts w:cstheme="minorHAnsi"/>
          <w:sz w:val="24"/>
          <w:szCs w:val="24"/>
        </w:rPr>
        <w:t xml:space="preserve"> (total of reversed administrative decision</w:t>
      </w:r>
      <w:r w:rsidR="009B42D1" w:rsidRPr="006E2C67">
        <w:rPr>
          <w:rFonts w:cstheme="minorHAnsi"/>
          <w:sz w:val="24"/>
          <w:szCs w:val="24"/>
        </w:rPr>
        <w:t>s</w:t>
      </w:r>
      <w:r w:rsidRPr="006E2C67">
        <w:rPr>
          <w:rFonts w:cstheme="minorHAnsi"/>
          <w:sz w:val="24"/>
          <w:szCs w:val="24"/>
        </w:rPr>
        <w:t xml:space="preserve">/total </w:t>
      </w:r>
      <w:r w:rsidR="009B42D1" w:rsidRPr="006E2C67">
        <w:rPr>
          <w:rFonts w:cstheme="minorHAnsi"/>
          <w:sz w:val="24"/>
          <w:szCs w:val="24"/>
        </w:rPr>
        <w:t>decisions</w:t>
      </w:r>
      <w:r w:rsidRPr="006E2C67">
        <w:rPr>
          <w:rFonts w:cstheme="minorHAnsi"/>
          <w:sz w:val="24"/>
          <w:szCs w:val="24"/>
        </w:rPr>
        <w:t>)</w:t>
      </w:r>
    </w:p>
    <w:p w14:paraId="47C8BDF3" w14:textId="77777777" w:rsidR="006F2788" w:rsidRDefault="006F2788" w:rsidP="006F2788">
      <w:pPr>
        <w:pStyle w:val="ListParagraph"/>
        <w:snapToGrid w:val="0"/>
        <w:ind w:left="1800"/>
        <w:rPr>
          <w:rFonts w:cstheme="minorHAnsi"/>
          <w:sz w:val="24"/>
          <w:szCs w:val="24"/>
        </w:rPr>
      </w:pPr>
    </w:p>
    <w:p w14:paraId="654C7C3D" w14:textId="14B8303E" w:rsidR="003D6BEB" w:rsidRPr="006F2788" w:rsidRDefault="00E46261" w:rsidP="00E46261">
      <w:pPr>
        <w:pStyle w:val="ListParagraph"/>
        <w:numPr>
          <w:ilvl w:val="0"/>
          <w:numId w:val="1"/>
        </w:numPr>
        <w:snapToGrid w:val="0"/>
        <w:ind w:left="270" w:hanging="27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3D6BEB" w:rsidRPr="006F2788">
        <w:rPr>
          <w:rFonts w:cstheme="minorHAnsi"/>
          <w:b/>
          <w:sz w:val="24"/>
          <w:szCs w:val="24"/>
        </w:rPr>
        <w:t>Annual Data</w:t>
      </w:r>
    </w:p>
    <w:p w14:paraId="622CD05B" w14:textId="77777777" w:rsidR="006D7340" w:rsidRPr="006D7340" w:rsidRDefault="006D7340" w:rsidP="006D7340">
      <w:pPr>
        <w:pStyle w:val="ListParagraph"/>
        <w:snapToGrid w:val="0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2610"/>
        <w:gridCol w:w="3330"/>
        <w:gridCol w:w="1844"/>
      </w:tblGrid>
      <w:tr w:rsidR="002E3955" w:rsidRPr="00547696" w14:paraId="600FCF0F" w14:textId="77777777" w:rsidTr="00AF745C">
        <w:tc>
          <w:tcPr>
            <w:tcW w:w="738" w:type="dxa"/>
          </w:tcPr>
          <w:p w14:paraId="6E62E960" w14:textId="0288038D" w:rsidR="002E3955" w:rsidRPr="00CC1805" w:rsidRDefault="0074398E">
            <w:pPr>
              <w:rPr>
                <w:rFonts w:cstheme="minorHAnsi"/>
                <w:b/>
                <w:sz w:val="24"/>
                <w:szCs w:val="24"/>
              </w:rPr>
            </w:pPr>
            <w:r w:rsidRPr="00CC1805">
              <w:rPr>
                <w:rFonts w:cstheme="minorHAnsi"/>
                <w:b/>
                <w:sz w:val="24"/>
                <w:szCs w:val="24"/>
              </w:rPr>
              <w:t>Year</w:t>
            </w:r>
          </w:p>
        </w:tc>
        <w:tc>
          <w:tcPr>
            <w:tcW w:w="2610" w:type="dxa"/>
          </w:tcPr>
          <w:p w14:paraId="639FFCB0" w14:textId="1F63E9C8" w:rsidR="002E3955" w:rsidRPr="00CC1805" w:rsidRDefault="0074398E" w:rsidP="00C3381C">
            <w:pPr>
              <w:snapToGrid w:val="0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CC1805">
              <w:rPr>
                <w:rFonts w:cstheme="minorHAnsi"/>
                <w:b/>
                <w:sz w:val="24"/>
                <w:szCs w:val="24"/>
              </w:rPr>
              <w:t>Number of Decisions</w:t>
            </w:r>
          </w:p>
        </w:tc>
        <w:tc>
          <w:tcPr>
            <w:tcW w:w="3330" w:type="dxa"/>
          </w:tcPr>
          <w:p w14:paraId="0BADCCAC" w14:textId="123A6CDE" w:rsidR="002E3955" w:rsidRPr="00CC1805" w:rsidRDefault="0074398E" w:rsidP="00C3381C">
            <w:pPr>
              <w:snapToGrid w:val="0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CC1805">
              <w:rPr>
                <w:rFonts w:cstheme="minorHAnsi"/>
                <w:b/>
                <w:sz w:val="24"/>
                <w:szCs w:val="24"/>
              </w:rPr>
              <w:t>Number of Reversed Decisions</w:t>
            </w:r>
          </w:p>
        </w:tc>
        <w:tc>
          <w:tcPr>
            <w:tcW w:w="1844" w:type="dxa"/>
          </w:tcPr>
          <w:p w14:paraId="2591A912" w14:textId="7084DD2C" w:rsidR="002E3955" w:rsidRPr="00CC1805" w:rsidRDefault="0074398E">
            <w:pPr>
              <w:rPr>
                <w:rFonts w:cstheme="minorHAnsi"/>
                <w:b/>
                <w:sz w:val="24"/>
                <w:szCs w:val="24"/>
              </w:rPr>
            </w:pPr>
            <w:r w:rsidRPr="00CC1805">
              <w:rPr>
                <w:rFonts w:cstheme="minorHAnsi"/>
                <w:b/>
                <w:sz w:val="24"/>
                <w:szCs w:val="24"/>
              </w:rPr>
              <w:t>Reverse Rate</w:t>
            </w:r>
          </w:p>
        </w:tc>
      </w:tr>
      <w:tr w:rsidR="002E3955" w:rsidRPr="00547696" w14:paraId="2B5BF4A8" w14:textId="77777777" w:rsidTr="00AF745C">
        <w:tc>
          <w:tcPr>
            <w:tcW w:w="738" w:type="dxa"/>
          </w:tcPr>
          <w:p w14:paraId="59876324" w14:textId="7C197BBF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2011</w:t>
            </w:r>
          </w:p>
        </w:tc>
        <w:tc>
          <w:tcPr>
            <w:tcW w:w="2610" w:type="dxa"/>
          </w:tcPr>
          <w:p w14:paraId="39F33D1C" w14:textId="7F70EF26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</w:t>
            </w:r>
            <w:r w:rsidR="0074398E" w:rsidRPr="00547696">
              <w:rPr>
                <w:rFonts w:cstheme="minorHAnsi"/>
                <w:sz w:val="24"/>
                <w:szCs w:val="24"/>
              </w:rPr>
              <w:t>,</w:t>
            </w:r>
            <w:r w:rsidRPr="00547696">
              <w:rPr>
                <w:rFonts w:cstheme="minorHAnsi"/>
                <w:sz w:val="24"/>
                <w:szCs w:val="24"/>
              </w:rPr>
              <w:t>546</w:t>
            </w:r>
          </w:p>
        </w:tc>
        <w:tc>
          <w:tcPr>
            <w:tcW w:w="3330" w:type="dxa"/>
          </w:tcPr>
          <w:p w14:paraId="437C3DA1" w14:textId="77777777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205</w:t>
            </w:r>
          </w:p>
        </w:tc>
        <w:tc>
          <w:tcPr>
            <w:tcW w:w="1844" w:type="dxa"/>
          </w:tcPr>
          <w:p w14:paraId="105516E4" w14:textId="52751559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13.26</w:t>
            </w:r>
            <w:r w:rsidR="0074398E" w:rsidRPr="00547696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6F799A1A" w14:textId="77777777" w:rsidTr="00AF745C">
        <w:tc>
          <w:tcPr>
            <w:tcW w:w="738" w:type="dxa"/>
          </w:tcPr>
          <w:p w14:paraId="01C5A3FB" w14:textId="78AD3CFA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2012</w:t>
            </w:r>
          </w:p>
        </w:tc>
        <w:tc>
          <w:tcPr>
            <w:tcW w:w="2610" w:type="dxa"/>
          </w:tcPr>
          <w:p w14:paraId="16308A96" w14:textId="2A937FFD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</w:t>
            </w:r>
            <w:r w:rsidR="0074398E" w:rsidRPr="00547696">
              <w:rPr>
                <w:rFonts w:cstheme="minorHAnsi"/>
                <w:sz w:val="24"/>
                <w:szCs w:val="24"/>
              </w:rPr>
              <w:t>,</w:t>
            </w:r>
            <w:r w:rsidRPr="00547696">
              <w:rPr>
                <w:rFonts w:cstheme="minorHAnsi"/>
                <w:sz w:val="24"/>
                <w:szCs w:val="24"/>
              </w:rPr>
              <w:t>016</w:t>
            </w:r>
          </w:p>
        </w:tc>
        <w:tc>
          <w:tcPr>
            <w:tcW w:w="3330" w:type="dxa"/>
          </w:tcPr>
          <w:p w14:paraId="5F414B06" w14:textId="77777777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418</w:t>
            </w:r>
          </w:p>
        </w:tc>
        <w:tc>
          <w:tcPr>
            <w:tcW w:w="1844" w:type="dxa"/>
          </w:tcPr>
          <w:p w14:paraId="66E80E4D" w14:textId="193D2176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20.73</w:t>
            </w:r>
            <w:r w:rsidR="0074398E" w:rsidRPr="00547696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491D6F72" w14:textId="77777777" w:rsidTr="00AF745C">
        <w:tc>
          <w:tcPr>
            <w:tcW w:w="738" w:type="dxa"/>
          </w:tcPr>
          <w:p w14:paraId="2719DA7F" w14:textId="290946EC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2013</w:t>
            </w:r>
          </w:p>
        </w:tc>
        <w:tc>
          <w:tcPr>
            <w:tcW w:w="2610" w:type="dxa"/>
          </w:tcPr>
          <w:p w14:paraId="25E00824" w14:textId="77A1D80F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</w:t>
            </w:r>
            <w:r w:rsidR="0074398E" w:rsidRPr="00547696">
              <w:rPr>
                <w:rFonts w:cstheme="minorHAnsi"/>
                <w:sz w:val="24"/>
                <w:szCs w:val="24"/>
              </w:rPr>
              <w:t>,</w:t>
            </w:r>
            <w:r w:rsidRPr="00547696">
              <w:rPr>
                <w:rFonts w:cstheme="minorHAnsi"/>
                <w:sz w:val="24"/>
                <w:szCs w:val="24"/>
              </w:rPr>
              <w:t>825</w:t>
            </w:r>
          </w:p>
        </w:tc>
        <w:tc>
          <w:tcPr>
            <w:tcW w:w="3330" w:type="dxa"/>
          </w:tcPr>
          <w:p w14:paraId="1EA503EE" w14:textId="77777777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324</w:t>
            </w:r>
          </w:p>
        </w:tc>
        <w:tc>
          <w:tcPr>
            <w:tcW w:w="1844" w:type="dxa"/>
          </w:tcPr>
          <w:p w14:paraId="3B947370" w14:textId="59397C0A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17.75</w:t>
            </w:r>
            <w:r w:rsidR="0074398E" w:rsidRPr="00547696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7F667097" w14:textId="77777777" w:rsidTr="00AF745C">
        <w:tc>
          <w:tcPr>
            <w:tcW w:w="738" w:type="dxa"/>
          </w:tcPr>
          <w:p w14:paraId="09494780" w14:textId="63F28833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2014</w:t>
            </w:r>
          </w:p>
        </w:tc>
        <w:tc>
          <w:tcPr>
            <w:tcW w:w="2610" w:type="dxa"/>
          </w:tcPr>
          <w:p w14:paraId="5B48C03B" w14:textId="16EABEC6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3</w:t>
            </w:r>
            <w:r w:rsidR="0074398E" w:rsidRPr="00547696">
              <w:rPr>
                <w:rFonts w:cstheme="minorHAnsi"/>
                <w:sz w:val="24"/>
                <w:szCs w:val="24"/>
              </w:rPr>
              <w:t>,</w:t>
            </w:r>
            <w:r w:rsidRPr="00547696">
              <w:rPr>
                <w:rFonts w:cstheme="minorHAnsi"/>
                <w:sz w:val="24"/>
                <w:szCs w:val="24"/>
              </w:rPr>
              <w:t>147</w:t>
            </w:r>
          </w:p>
        </w:tc>
        <w:tc>
          <w:tcPr>
            <w:tcW w:w="3330" w:type="dxa"/>
          </w:tcPr>
          <w:p w14:paraId="11038342" w14:textId="77777777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541</w:t>
            </w:r>
          </w:p>
        </w:tc>
        <w:tc>
          <w:tcPr>
            <w:tcW w:w="1844" w:type="dxa"/>
          </w:tcPr>
          <w:p w14:paraId="4ECF3D10" w14:textId="0D58731D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17.19</w:t>
            </w:r>
            <w:r w:rsidR="0074398E" w:rsidRPr="00547696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06E4EF70" w14:textId="77777777" w:rsidTr="00AF745C">
        <w:tc>
          <w:tcPr>
            <w:tcW w:w="738" w:type="dxa"/>
          </w:tcPr>
          <w:p w14:paraId="17FA52A2" w14:textId="6A5FFCC5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2015</w:t>
            </w:r>
          </w:p>
        </w:tc>
        <w:tc>
          <w:tcPr>
            <w:tcW w:w="2610" w:type="dxa"/>
          </w:tcPr>
          <w:p w14:paraId="7940DB67" w14:textId="46A56734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4</w:t>
            </w:r>
            <w:r w:rsidR="0074398E" w:rsidRPr="00547696">
              <w:rPr>
                <w:rFonts w:cstheme="minorHAnsi"/>
                <w:sz w:val="24"/>
                <w:szCs w:val="24"/>
              </w:rPr>
              <w:t>,</w:t>
            </w:r>
            <w:r w:rsidRPr="00547696">
              <w:rPr>
                <w:rFonts w:cstheme="minorHAnsi"/>
                <w:sz w:val="24"/>
                <w:szCs w:val="24"/>
              </w:rPr>
              <w:t>108</w:t>
            </w:r>
          </w:p>
        </w:tc>
        <w:tc>
          <w:tcPr>
            <w:tcW w:w="3330" w:type="dxa"/>
          </w:tcPr>
          <w:p w14:paraId="482DF45B" w14:textId="77777777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766</w:t>
            </w:r>
          </w:p>
        </w:tc>
        <w:tc>
          <w:tcPr>
            <w:tcW w:w="1844" w:type="dxa"/>
          </w:tcPr>
          <w:p w14:paraId="26041D4E" w14:textId="1544CD18" w:rsidR="002E3955" w:rsidRPr="00547696" w:rsidRDefault="002E3955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18.65</w:t>
            </w:r>
            <w:r w:rsidR="0074398E" w:rsidRPr="00547696">
              <w:rPr>
                <w:rFonts w:cstheme="minorHAnsi"/>
                <w:sz w:val="24"/>
                <w:szCs w:val="24"/>
              </w:rPr>
              <w:t>%</w:t>
            </w:r>
          </w:p>
        </w:tc>
      </w:tr>
    </w:tbl>
    <w:p w14:paraId="17C254B6" w14:textId="77777777" w:rsidR="002E3955" w:rsidRPr="00547696" w:rsidRDefault="009116FC">
      <w:pPr>
        <w:rPr>
          <w:rFonts w:cstheme="minorHAnsi"/>
          <w:sz w:val="24"/>
          <w:szCs w:val="24"/>
        </w:rPr>
      </w:pPr>
      <w:r w:rsidRPr="00547696">
        <w:rPr>
          <w:rFonts w:cstheme="minorHAnsi"/>
          <w:noProof/>
          <w:sz w:val="24"/>
          <w:szCs w:val="24"/>
        </w:rPr>
        <w:drawing>
          <wp:inline distT="0" distB="0" distL="0" distR="0" wp14:anchorId="6007906F" wp14:editId="16FC987B">
            <wp:extent cx="5324475" cy="3076575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48752C3" w14:textId="4BBCC817" w:rsidR="009116FC" w:rsidRDefault="00C3381C" w:rsidP="00E95CA0">
      <w:pPr>
        <w:snapToGrid w:val="0"/>
        <w:rPr>
          <w:rFonts w:cstheme="minorHAnsi"/>
          <w:sz w:val="24"/>
          <w:szCs w:val="24"/>
        </w:rPr>
      </w:pPr>
      <w:r w:rsidRPr="00547696">
        <w:rPr>
          <w:rFonts w:cstheme="minorHAnsi"/>
          <w:sz w:val="24"/>
          <w:szCs w:val="24"/>
        </w:rPr>
        <w:t>As can be seen from the data</w:t>
      </w:r>
      <w:r w:rsidR="00C64618">
        <w:rPr>
          <w:rFonts w:cstheme="minorHAnsi"/>
          <w:sz w:val="24"/>
          <w:szCs w:val="24"/>
        </w:rPr>
        <w:t xml:space="preserve"> above</w:t>
      </w:r>
      <w:r w:rsidRPr="00547696">
        <w:rPr>
          <w:rFonts w:cstheme="minorHAnsi"/>
          <w:sz w:val="24"/>
          <w:szCs w:val="24"/>
        </w:rPr>
        <w:t xml:space="preserve">, </w:t>
      </w:r>
      <w:r w:rsidR="00C64618">
        <w:rPr>
          <w:rFonts w:cstheme="minorHAnsi"/>
          <w:sz w:val="24"/>
          <w:szCs w:val="24"/>
        </w:rPr>
        <w:t xml:space="preserve">from </w:t>
      </w:r>
      <w:r w:rsidRPr="00547696">
        <w:rPr>
          <w:rFonts w:cstheme="minorHAnsi"/>
          <w:sz w:val="24"/>
          <w:szCs w:val="24"/>
        </w:rPr>
        <w:t xml:space="preserve">2011 – 2015, </w:t>
      </w:r>
      <w:r w:rsidR="00A644D7" w:rsidRPr="00547696">
        <w:rPr>
          <w:rFonts w:cstheme="minorHAnsi"/>
          <w:sz w:val="24"/>
          <w:szCs w:val="24"/>
        </w:rPr>
        <w:t xml:space="preserve">the </w:t>
      </w:r>
      <w:r w:rsidR="00C64618">
        <w:rPr>
          <w:rFonts w:cstheme="minorHAnsi"/>
          <w:sz w:val="24"/>
          <w:szCs w:val="24"/>
        </w:rPr>
        <w:t xml:space="preserve">total </w:t>
      </w:r>
      <w:r w:rsidR="00A644D7" w:rsidRPr="00547696">
        <w:rPr>
          <w:rFonts w:cstheme="minorHAnsi"/>
          <w:sz w:val="24"/>
          <w:szCs w:val="24"/>
        </w:rPr>
        <w:t>number of court’s reversing of the administrative decision</w:t>
      </w:r>
      <w:r w:rsidR="00E469E2" w:rsidRPr="00547696">
        <w:rPr>
          <w:rFonts w:cstheme="minorHAnsi"/>
          <w:sz w:val="24"/>
          <w:szCs w:val="24"/>
        </w:rPr>
        <w:t>s has a</w:t>
      </w:r>
      <w:r w:rsidR="00C64618">
        <w:rPr>
          <w:rFonts w:cstheme="minorHAnsi"/>
          <w:sz w:val="24"/>
          <w:szCs w:val="24"/>
        </w:rPr>
        <w:t>n</w:t>
      </w:r>
      <w:r w:rsidR="00A644D7" w:rsidRPr="00547696">
        <w:rPr>
          <w:rFonts w:cstheme="minorHAnsi"/>
          <w:sz w:val="24"/>
          <w:szCs w:val="24"/>
        </w:rPr>
        <w:t xml:space="preserve"> </w:t>
      </w:r>
      <w:r w:rsidR="00C64618">
        <w:rPr>
          <w:rFonts w:cstheme="minorHAnsi"/>
          <w:sz w:val="24"/>
          <w:szCs w:val="24"/>
        </w:rPr>
        <w:t>upward</w:t>
      </w:r>
      <w:r w:rsidR="00A644D7" w:rsidRPr="00547696">
        <w:rPr>
          <w:rFonts w:cstheme="minorHAnsi"/>
          <w:sz w:val="24"/>
          <w:szCs w:val="24"/>
        </w:rPr>
        <w:t xml:space="preserve"> trend.  </w:t>
      </w:r>
    </w:p>
    <w:p w14:paraId="21B3586C" w14:textId="77777777" w:rsidR="006F2788" w:rsidRPr="00547696" w:rsidRDefault="006F2788" w:rsidP="00C64618">
      <w:pPr>
        <w:snapToGrid w:val="0"/>
        <w:ind w:firstLineChars="200" w:firstLine="480"/>
        <w:rPr>
          <w:rFonts w:cstheme="minorHAnsi"/>
          <w:sz w:val="24"/>
          <w:szCs w:val="24"/>
        </w:rPr>
      </w:pPr>
    </w:p>
    <w:p w14:paraId="266D08F9" w14:textId="0E8EBB68" w:rsidR="00E63B5D" w:rsidRPr="006F2788" w:rsidRDefault="00E46261" w:rsidP="00E46261">
      <w:pPr>
        <w:pStyle w:val="ListParagraph"/>
        <w:numPr>
          <w:ilvl w:val="0"/>
          <w:numId w:val="1"/>
        </w:numPr>
        <w:ind w:left="270" w:hanging="27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 </w:t>
      </w:r>
      <w:r w:rsidR="007955A4" w:rsidRPr="006F2788">
        <w:rPr>
          <w:rFonts w:cstheme="minorHAnsi"/>
          <w:b/>
          <w:sz w:val="24"/>
          <w:szCs w:val="24"/>
        </w:rPr>
        <w:t>Cause of Action A</w:t>
      </w:r>
      <w:r w:rsidR="00350847" w:rsidRPr="006F2788">
        <w:rPr>
          <w:rFonts w:cstheme="minorHAnsi"/>
          <w:b/>
          <w:sz w:val="24"/>
          <w:szCs w:val="24"/>
        </w:rPr>
        <w:t xml:space="preserve">nalysis </w:t>
      </w:r>
    </w:p>
    <w:p w14:paraId="60A599D4" w14:textId="77777777" w:rsidR="00350847" w:rsidRPr="00350847" w:rsidRDefault="00350847" w:rsidP="00350847">
      <w:pPr>
        <w:pStyle w:val="ListParagrap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06534F" w:rsidRPr="00547696" w14:paraId="44D69E3C" w14:textId="77777777" w:rsidTr="00CD322D">
        <w:tc>
          <w:tcPr>
            <w:tcW w:w="2840" w:type="dxa"/>
          </w:tcPr>
          <w:p w14:paraId="088F174C" w14:textId="526C331F" w:rsidR="0006534F" w:rsidRPr="00E307F8" w:rsidRDefault="007955A4" w:rsidP="00CD322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Cause of Action</w:t>
            </w:r>
          </w:p>
        </w:tc>
        <w:tc>
          <w:tcPr>
            <w:tcW w:w="2841" w:type="dxa"/>
          </w:tcPr>
          <w:p w14:paraId="747D6DF6" w14:textId="045F9CDE" w:rsidR="0006534F" w:rsidRPr="00E307F8" w:rsidRDefault="00350847" w:rsidP="00CD322D">
            <w:pPr>
              <w:rPr>
                <w:rFonts w:cstheme="minorHAnsi"/>
                <w:b/>
                <w:sz w:val="24"/>
                <w:szCs w:val="24"/>
              </w:rPr>
            </w:pPr>
            <w:r w:rsidRPr="00E307F8">
              <w:rPr>
                <w:rFonts w:cstheme="minorHAnsi" w:hint="eastAsia"/>
                <w:b/>
                <w:sz w:val="24"/>
                <w:szCs w:val="24"/>
              </w:rPr>
              <w:t>N</w:t>
            </w:r>
            <w:r w:rsidRPr="00E307F8">
              <w:rPr>
                <w:rFonts w:cstheme="minorHAnsi"/>
                <w:b/>
                <w:sz w:val="24"/>
                <w:szCs w:val="24"/>
              </w:rPr>
              <w:t>umber of Cases</w:t>
            </w:r>
          </w:p>
        </w:tc>
        <w:tc>
          <w:tcPr>
            <w:tcW w:w="2841" w:type="dxa"/>
          </w:tcPr>
          <w:p w14:paraId="0AF06EC8" w14:textId="3845009D" w:rsidR="0006534F" w:rsidRPr="00E307F8" w:rsidRDefault="00350847" w:rsidP="00350847">
            <w:pPr>
              <w:rPr>
                <w:rFonts w:cstheme="minorHAnsi"/>
                <w:b/>
                <w:sz w:val="24"/>
                <w:szCs w:val="24"/>
              </w:rPr>
            </w:pPr>
            <w:r w:rsidRPr="00E307F8">
              <w:rPr>
                <w:rFonts w:cstheme="minorHAnsi" w:hint="eastAsia"/>
                <w:b/>
                <w:sz w:val="24"/>
                <w:szCs w:val="24"/>
              </w:rPr>
              <w:t>Percentage</w:t>
            </w:r>
          </w:p>
        </w:tc>
      </w:tr>
      <w:tr w:rsidR="002E3955" w:rsidRPr="00547696" w14:paraId="5B617B23" w14:textId="77777777" w:rsidTr="00CD322D">
        <w:tc>
          <w:tcPr>
            <w:tcW w:w="2840" w:type="dxa"/>
          </w:tcPr>
          <w:p w14:paraId="78814ABF" w14:textId="68DA19B1" w:rsidR="002E3955" w:rsidRPr="00547696" w:rsidRDefault="00350847" w:rsidP="0035084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>Rejection Appeal</w:t>
            </w:r>
          </w:p>
        </w:tc>
        <w:tc>
          <w:tcPr>
            <w:tcW w:w="2841" w:type="dxa"/>
          </w:tcPr>
          <w:p w14:paraId="131D7142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770</w:t>
            </w:r>
          </w:p>
        </w:tc>
        <w:tc>
          <w:tcPr>
            <w:tcW w:w="2841" w:type="dxa"/>
          </w:tcPr>
          <w:p w14:paraId="6B8EABCB" w14:textId="4A3565E5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34.16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232D013B" w14:textId="77777777" w:rsidTr="00CD322D">
        <w:tc>
          <w:tcPr>
            <w:tcW w:w="2840" w:type="dxa"/>
          </w:tcPr>
          <w:p w14:paraId="45BDD93D" w14:textId="54493E96" w:rsidR="002E3955" w:rsidRPr="00547696" w:rsidRDefault="00350847" w:rsidP="0035084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>Opposition Appeal</w:t>
            </w:r>
          </w:p>
        </w:tc>
        <w:tc>
          <w:tcPr>
            <w:tcW w:w="2841" w:type="dxa"/>
          </w:tcPr>
          <w:p w14:paraId="1F43C5BD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1022</w:t>
            </w:r>
          </w:p>
        </w:tc>
        <w:tc>
          <w:tcPr>
            <w:tcW w:w="2841" w:type="dxa"/>
          </w:tcPr>
          <w:p w14:paraId="0605AF91" w14:textId="7D92DA61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45.34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5A89C7E8" w14:textId="77777777" w:rsidTr="00CD322D">
        <w:tc>
          <w:tcPr>
            <w:tcW w:w="2840" w:type="dxa"/>
          </w:tcPr>
          <w:p w14:paraId="1094E6B7" w14:textId="3A9A1EED" w:rsidR="002E3955" w:rsidRPr="00547696" w:rsidRDefault="00350847" w:rsidP="00E307F8">
            <w:pPr>
              <w:jc w:val="lef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>Invalidation Request (Dispute)</w:t>
            </w:r>
          </w:p>
        </w:tc>
        <w:tc>
          <w:tcPr>
            <w:tcW w:w="2841" w:type="dxa"/>
          </w:tcPr>
          <w:p w14:paraId="3B63A963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355</w:t>
            </w:r>
          </w:p>
        </w:tc>
        <w:tc>
          <w:tcPr>
            <w:tcW w:w="2841" w:type="dxa"/>
          </w:tcPr>
          <w:p w14:paraId="79660990" w14:textId="05D0B36D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15.75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3E430B7E" w14:textId="77777777" w:rsidTr="00CD322D">
        <w:tc>
          <w:tcPr>
            <w:tcW w:w="2840" w:type="dxa"/>
          </w:tcPr>
          <w:p w14:paraId="72C6ED04" w14:textId="570E5BFA" w:rsidR="002E3955" w:rsidRPr="00547696" w:rsidRDefault="00350847" w:rsidP="00E307F8">
            <w:pPr>
              <w:jc w:val="lef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>Cancelation Appeal</w:t>
            </w:r>
          </w:p>
        </w:tc>
        <w:tc>
          <w:tcPr>
            <w:tcW w:w="2841" w:type="dxa"/>
          </w:tcPr>
          <w:p w14:paraId="547F9535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2841" w:type="dxa"/>
          </w:tcPr>
          <w:p w14:paraId="3D8BFBAE" w14:textId="32801D90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4.39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7CAD83C2" w14:textId="77777777" w:rsidTr="00CD322D">
        <w:tc>
          <w:tcPr>
            <w:tcW w:w="2840" w:type="dxa"/>
          </w:tcPr>
          <w:p w14:paraId="2D1CACFA" w14:textId="5128755F" w:rsidR="002E3955" w:rsidRPr="00547696" w:rsidRDefault="00350847" w:rsidP="00E307F8">
            <w:pPr>
              <w:jc w:val="lef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>Other Administrative Disputes</w:t>
            </w:r>
          </w:p>
        </w:tc>
        <w:tc>
          <w:tcPr>
            <w:tcW w:w="2841" w:type="dxa"/>
          </w:tcPr>
          <w:p w14:paraId="4024C23F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841" w:type="dxa"/>
          </w:tcPr>
          <w:p w14:paraId="5D3CB30B" w14:textId="77FAE34B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0.35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2E3955" w:rsidRPr="00547696" w14:paraId="6F83692B" w14:textId="77777777" w:rsidTr="00CD322D">
        <w:tc>
          <w:tcPr>
            <w:tcW w:w="2840" w:type="dxa"/>
          </w:tcPr>
          <w:p w14:paraId="27A4B6B8" w14:textId="3FD31F84" w:rsidR="002E3955" w:rsidRPr="00547696" w:rsidRDefault="00350847" w:rsidP="0035084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eastAsia"/>
                <w:sz w:val="24"/>
                <w:szCs w:val="24"/>
              </w:rPr>
              <w:t xml:space="preserve">Total </w:t>
            </w:r>
          </w:p>
        </w:tc>
        <w:tc>
          <w:tcPr>
            <w:tcW w:w="2841" w:type="dxa"/>
          </w:tcPr>
          <w:p w14:paraId="75027374" w14:textId="77777777" w:rsidR="002E3955" w:rsidRPr="00547696" w:rsidRDefault="002E3955" w:rsidP="004B356B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2254</w:t>
            </w:r>
          </w:p>
        </w:tc>
        <w:tc>
          <w:tcPr>
            <w:tcW w:w="2841" w:type="dxa"/>
          </w:tcPr>
          <w:p w14:paraId="7A141555" w14:textId="6EEEA71C" w:rsidR="002E3955" w:rsidRPr="00547696" w:rsidRDefault="002E3955" w:rsidP="00CD322D">
            <w:pPr>
              <w:rPr>
                <w:rFonts w:cstheme="minorHAnsi"/>
                <w:sz w:val="24"/>
                <w:szCs w:val="24"/>
              </w:rPr>
            </w:pPr>
            <w:r w:rsidRPr="00547696">
              <w:rPr>
                <w:rFonts w:cstheme="minorHAnsi"/>
                <w:sz w:val="24"/>
                <w:szCs w:val="24"/>
              </w:rPr>
              <w:t>100</w:t>
            </w:r>
            <w:r w:rsidR="00350847">
              <w:rPr>
                <w:rFonts w:cstheme="minorHAnsi"/>
                <w:sz w:val="24"/>
                <w:szCs w:val="24"/>
              </w:rPr>
              <w:t>%</w:t>
            </w:r>
          </w:p>
        </w:tc>
      </w:tr>
    </w:tbl>
    <w:p w14:paraId="737253DD" w14:textId="77777777" w:rsidR="00223AE7" w:rsidRDefault="00223AE7" w:rsidP="00223AE7">
      <w:pPr>
        <w:rPr>
          <w:rFonts w:cstheme="minorHAnsi"/>
          <w:sz w:val="24"/>
          <w:szCs w:val="24"/>
        </w:rPr>
      </w:pPr>
    </w:p>
    <w:p w14:paraId="02F521C9" w14:textId="612FA58C" w:rsidR="009116FC" w:rsidRDefault="00223AE7" w:rsidP="00E95CA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c</w:t>
      </w:r>
      <w:r>
        <w:rPr>
          <w:rFonts w:cstheme="minorHAnsi" w:hint="eastAsia"/>
          <w:sz w:val="24"/>
          <w:szCs w:val="24"/>
        </w:rPr>
        <w:t>a</w:t>
      </w:r>
      <w:r>
        <w:rPr>
          <w:rFonts w:cstheme="minorHAnsi"/>
          <w:sz w:val="24"/>
          <w:szCs w:val="24"/>
        </w:rPr>
        <w:t xml:space="preserve">n be seen from the data above, “opposition appeal” occupies the biggest percentage of all administrative grant and affirmation of right cases held by the </w:t>
      </w:r>
      <w:r w:rsidR="005566CE">
        <w:rPr>
          <w:rFonts w:cstheme="minorHAnsi"/>
          <w:sz w:val="24"/>
          <w:szCs w:val="24"/>
        </w:rPr>
        <w:t>Trademark Review and Adjudication Board</w:t>
      </w:r>
      <w:r>
        <w:rPr>
          <w:rFonts w:cstheme="minorHAnsi"/>
          <w:sz w:val="24"/>
          <w:szCs w:val="24"/>
        </w:rPr>
        <w:t xml:space="preserve"> at a rate over 45%. </w:t>
      </w:r>
    </w:p>
    <w:p w14:paraId="31BA7E66" w14:textId="77777777" w:rsidR="007C4B74" w:rsidRPr="00547696" w:rsidRDefault="007C4B74" w:rsidP="007C4B74">
      <w:pPr>
        <w:ind w:firstLine="420"/>
        <w:rPr>
          <w:rFonts w:cstheme="minorHAnsi"/>
          <w:sz w:val="24"/>
          <w:szCs w:val="24"/>
        </w:rPr>
      </w:pPr>
    </w:p>
    <w:p w14:paraId="5837D0E4" w14:textId="21FADB5B" w:rsidR="007C4B74" w:rsidRDefault="007C4B74" w:rsidP="00E46261">
      <w:pPr>
        <w:pStyle w:val="ListParagraph"/>
        <w:numPr>
          <w:ilvl w:val="0"/>
          <w:numId w:val="1"/>
        </w:numPr>
        <w:ind w:left="360" w:hanging="360"/>
        <w:rPr>
          <w:b/>
          <w:sz w:val="24"/>
        </w:rPr>
      </w:pPr>
      <w:r w:rsidRPr="007C4B74">
        <w:rPr>
          <w:b/>
          <w:sz w:val="24"/>
        </w:rPr>
        <w:t xml:space="preserve">Parties </w:t>
      </w:r>
    </w:p>
    <w:p w14:paraId="1D915D2B" w14:textId="77777777" w:rsidR="007C4B74" w:rsidRDefault="007C4B74" w:rsidP="007C4B74">
      <w:pPr>
        <w:pStyle w:val="ListParagraph"/>
        <w:rPr>
          <w:b/>
          <w:sz w:val="24"/>
        </w:rPr>
      </w:pPr>
    </w:p>
    <w:p w14:paraId="613A3A80" w14:textId="2B721224" w:rsidR="00440AA1" w:rsidRDefault="007C4B74" w:rsidP="00E95CA0">
      <w:pPr>
        <w:pStyle w:val="ListParagraph"/>
        <w:ind w:left="0"/>
        <w:rPr>
          <w:sz w:val="24"/>
        </w:rPr>
      </w:pPr>
      <w:r>
        <w:rPr>
          <w:sz w:val="24"/>
        </w:rPr>
        <w:t>From 2011 – 2015, there are 5,121 cases involved plaintiffs from foreign countries and Hong Kong, Macao, and Taiwan regions, where 1,010 administrative decision were reversed by the courts, accounts 44.81% of all reversed cases. The rate of reversing cases involving foreign and Hong Kong, Macao, and Taiwan region plaintiffs is 19.72%, close to one-fifth of all cases involving foreign and Hong Kong, Macao, and Taiwan entities. This is 1.89% higher than the average revers</w:t>
      </w:r>
      <w:r w:rsidR="00440AA1">
        <w:rPr>
          <w:sz w:val="24"/>
        </w:rPr>
        <w:t>al</w:t>
      </w:r>
      <w:r>
        <w:rPr>
          <w:sz w:val="24"/>
        </w:rPr>
        <w:t xml:space="preserve"> rate. This explains that cases involving foreign and Hong Kong,</w:t>
      </w:r>
      <w:r w:rsidR="00440AA1">
        <w:rPr>
          <w:sz w:val="24"/>
        </w:rPr>
        <w:t xml:space="preserve"> Macao, and Taiwan entities occupies a higher percentage in all cases, and the reversal rate is high. </w:t>
      </w:r>
    </w:p>
    <w:sectPr w:rsidR="00440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181A38"/>
    <w:multiLevelType w:val="hybridMultilevel"/>
    <w:tmpl w:val="34F60D52"/>
    <w:lvl w:ilvl="0" w:tplc="2618B8D2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A740CE"/>
    <w:multiLevelType w:val="hybridMultilevel"/>
    <w:tmpl w:val="EE6C31CA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AB3F9C"/>
    <w:multiLevelType w:val="hybridMultilevel"/>
    <w:tmpl w:val="01CC3270"/>
    <w:lvl w:ilvl="0" w:tplc="8138DCB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4"/>
      </w:rPr>
    </w:lvl>
    <w:lvl w:ilvl="1" w:tplc="74F418EA">
      <w:start w:val="1"/>
      <w:numFmt w:val="decimal"/>
      <w:lvlText w:val="%2."/>
      <w:lvlJc w:val="left"/>
      <w:pPr>
        <w:ind w:left="1080" w:hanging="360"/>
      </w:pPr>
      <w:rPr>
        <w:rFonts w:hint="eastAsia"/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A1"/>
    <w:rsid w:val="00023A28"/>
    <w:rsid w:val="0006534F"/>
    <w:rsid w:val="000C7064"/>
    <w:rsid w:val="00160B49"/>
    <w:rsid w:val="001B62B3"/>
    <w:rsid w:val="00201908"/>
    <w:rsid w:val="00223AE7"/>
    <w:rsid w:val="00255A76"/>
    <w:rsid w:val="00264957"/>
    <w:rsid w:val="00271393"/>
    <w:rsid w:val="002E3955"/>
    <w:rsid w:val="00350847"/>
    <w:rsid w:val="003A1667"/>
    <w:rsid w:val="003D6BEB"/>
    <w:rsid w:val="00440AA1"/>
    <w:rsid w:val="004622E0"/>
    <w:rsid w:val="00472077"/>
    <w:rsid w:val="004B6A86"/>
    <w:rsid w:val="00547696"/>
    <w:rsid w:val="005566CE"/>
    <w:rsid w:val="00565CA1"/>
    <w:rsid w:val="006D7340"/>
    <w:rsid w:val="006E2C67"/>
    <w:rsid w:val="006F2788"/>
    <w:rsid w:val="007147C5"/>
    <w:rsid w:val="00735CD7"/>
    <w:rsid w:val="0074398E"/>
    <w:rsid w:val="00766C0B"/>
    <w:rsid w:val="007955A4"/>
    <w:rsid w:val="007C4B74"/>
    <w:rsid w:val="007C5AFC"/>
    <w:rsid w:val="007D04DC"/>
    <w:rsid w:val="00862092"/>
    <w:rsid w:val="009116FC"/>
    <w:rsid w:val="00961B63"/>
    <w:rsid w:val="009951FB"/>
    <w:rsid w:val="009B42D1"/>
    <w:rsid w:val="00A209CB"/>
    <w:rsid w:val="00A644D7"/>
    <w:rsid w:val="00AF745C"/>
    <w:rsid w:val="00B27D86"/>
    <w:rsid w:val="00C3381C"/>
    <w:rsid w:val="00C64618"/>
    <w:rsid w:val="00C7198E"/>
    <w:rsid w:val="00CC1805"/>
    <w:rsid w:val="00D420D8"/>
    <w:rsid w:val="00DB59C0"/>
    <w:rsid w:val="00E307F8"/>
    <w:rsid w:val="00E46261"/>
    <w:rsid w:val="00E469E2"/>
    <w:rsid w:val="00E56936"/>
    <w:rsid w:val="00E63B5D"/>
    <w:rsid w:val="00E95CA0"/>
    <w:rsid w:val="00F20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CBE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70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7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C70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6F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6FC"/>
    <w:rPr>
      <w:sz w:val="18"/>
      <w:szCs w:val="18"/>
    </w:rPr>
  </w:style>
  <w:style w:type="paragraph" w:styleId="NoSpacing">
    <w:name w:val="No Spacing"/>
    <w:uiPriority w:val="1"/>
    <w:qFormat/>
    <w:rsid w:val="007C5AFC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766C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5A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hyperlink" Target="http://www.iphousecn)" TargetMode="Externa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No. of Cases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205</c:v>
                </c:pt>
                <c:pt idx="1">
                  <c:v>418</c:v>
                </c:pt>
                <c:pt idx="2">
                  <c:v>324</c:v>
                </c:pt>
                <c:pt idx="3">
                  <c:v>541</c:v>
                </c:pt>
                <c:pt idx="4">
                  <c:v>766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C7-4578-9D64-B996F20718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95452592"/>
        <c:axId val="495450240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Reverse %</c:v>
                </c:pt>
              </c:strCache>
            </c:strRef>
          </c:tx>
          <c:marker>
            <c:symbol val="none"/>
          </c:marker>
          <c:dLbls>
            <c:dLbl>
              <c:idx val="0"/>
              <c:layout>
                <c:manualLayout>
                  <c:x val="-6.9795427196149201E-2"/>
                  <c:y val="-5.366357069143450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7C7-4578-9D64-B996F2071864}"/>
                </c:ext>
              </c:extLst>
            </c:dLbl>
            <c:dLbl>
              <c:idx val="1"/>
              <c:layout>
                <c:manualLayout>
                  <c:x val="-3.8507821901323701E-2"/>
                  <c:y val="4.127966976264189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7C7-4578-9D64-B996F2071864}"/>
                </c:ext>
              </c:extLst>
            </c:dLbl>
            <c:dLbl>
              <c:idx val="2"/>
              <c:layout>
                <c:manualLayout>
                  <c:x val="-2.1660649819494601E-2"/>
                  <c:y val="-2.889576883384930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7C7-4578-9D64-B996F2071864}"/>
                </c:ext>
              </c:extLst>
            </c:dLbl>
            <c:dLbl>
              <c:idx val="3"/>
              <c:layout>
                <c:manualLayout>
                  <c:x val="-3.12876052948255E-2"/>
                  <c:y val="-3.302373581011350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7C7-4578-9D64-B996F2071864}"/>
                </c:ext>
              </c:extLst>
            </c:dLbl>
            <c:dLbl>
              <c:idx val="4"/>
              <c:layout>
                <c:manualLayout>
                  <c:x val="-6.7388688327316495E-2"/>
                  <c:y val="-4.540763673890609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7C7-4578-9D64-B996F207186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Sheet1!$A$2:$A$6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Sheet1!$C$2:$C$6</c:f>
              <c:numCache>
                <c:formatCode>0.00%</c:formatCode>
                <c:ptCount val="5"/>
                <c:pt idx="0">
                  <c:v>0.1326</c:v>
                </c:pt>
                <c:pt idx="1">
                  <c:v>0.20730000000000001</c:v>
                </c:pt>
                <c:pt idx="2">
                  <c:v>0.17749999999999999</c:v>
                </c:pt>
                <c:pt idx="3">
                  <c:v>0.1719</c:v>
                </c:pt>
                <c:pt idx="4">
                  <c:v>0.1865</c:v>
                </c:pt>
              </c:numCache>
            </c:numRef>
          </c:val>
          <c:smooth val="1"/>
          <c:extLst>
            <c:ext xmlns:c16="http://schemas.microsoft.com/office/drawing/2014/chart" uri="{C3380CC4-5D6E-409C-BE32-E72D297353CC}">
              <c16:uniqueId val="{00000006-E7C7-4578-9D64-B996F20718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3162496"/>
        <c:axId val="483162104"/>
      </c:lineChart>
      <c:catAx>
        <c:axId val="4954525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495450240"/>
        <c:crosses val="autoZero"/>
        <c:auto val="1"/>
        <c:lblAlgn val="ctr"/>
        <c:lblOffset val="100"/>
        <c:noMultiLvlLbl val="0"/>
      </c:catAx>
      <c:valAx>
        <c:axId val="49545024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495452592"/>
        <c:crosses val="autoZero"/>
        <c:crossBetween val="between"/>
      </c:valAx>
      <c:valAx>
        <c:axId val="483162104"/>
        <c:scaling>
          <c:orientation val="minMax"/>
        </c:scaling>
        <c:delete val="0"/>
        <c:axPos val="r"/>
        <c:numFmt formatCode="0.00%" sourceLinked="1"/>
        <c:majorTickMark val="out"/>
        <c:minorTickMark val="none"/>
        <c:tickLblPos val="nextTo"/>
        <c:crossAx val="483162496"/>
        <c:crosses val="max"/>
        <c:crossBetween val="between"/>
      </c:valAx>
      <c:catAx>
        <c:axId val="48316249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83162104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</dc:creator>
  <cp:lastModifiedBy>Mark Cohen</cp:lastModifiedBy>
  <cp:revision>2</cp:revision>
  <dcterms:created xsi:type="dcterms:W3CDTF">2016-12-22T13:22:00Z</dcterms:created>
  <dcterms:modified xsi:type="dcterms:W3CDTF">2016-12-22T13:22:00Z</dcterms:modified>
</cp:coreProperties>
</file>