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0D97" w:rsidRPr="006A0D97" w:rsidRDefault="006A0D97" w:rsidP="006A0D97">
      <w:pPr>
        <w:shd w:val="clear" w:color="auto" w:fill="FFFFFF"/>
        <w:spacing w:before="100" w:beforeAutospacing="1" w:after="100" w:afterAutospacing="1" w:line="240" w:lineRule="auto"/>
        <w:outlineLvl w:val="0"/>
        <w:rPr>
          <w:rFonts w:ascii="Times New Roman" w:eastAsia="Times New Roman" w:hAnsi="Times New Roman" w:cs="Times New Roman"/>
          <w:kern w:val="36"/>
          <w:sz w:val="24"/>
          <w:szCs w:val="24"/>
          <w:lang/>
        </w:rPr>
      </w:pPr>
      <w:hyperlink r:id="rId4" w:tgtFrame="_blanl" w:history="1">
        <w:r>
          <w:rPr>
            <w:rFonts w:ascii="Times New Roman" w:eastAsia="Times New Roman" w:hAnsi="Times New Roman" w:cs="Times New Roman"/>
            <w:color w:val="0000FF"/>
            <w:kern w:val="36"/>
            <w:sz w:val="24"/>
            <w:szCs w:val="24"/>
            <w:shd w:val="clear" w:color="auto" w:fill="E6ECF9"/>
            <w:lang/>
          </w:rPr>
          <w:t>Supreme Court 16th Guiding</w:t>
        </w:r>
        <w:r w:rsidRPr="006A0D97">
          <w:rPr>
            <w:rFonts w:ascii="Times New Roman" w:eastAsia="Times New Roman" w:hAnsi="Times New Roman" w:cs="Times New Roman"/>
            <w:color w:val="0000FF"/>
            <w:kern w:val="36"/>
            <w:sz w:val="24"/>
            <w:szCs w:val="24"/>
            <w:shd w:val="clear" w:color="auto" w:fill="E6ECF9"/>
            <w:lang/>
          </w:rPr>
          <w:t xml:space="preserve"> Case (released on the morning of 9 March)</w:t>
        </w:r>
      </w:hyperlink>
      <w:r w:rsidRPr="006A0D97">
        <w:rPr>
          <w:rFonts w:ascii="Times New Roman" w:eastAsia="Times New Roman" w:hAnsi="Times New Roman" w:cs="Times New Roman"/>
          <w:kern w:val="36"/>
          <w:sz w:val="24"/>
          <w:szCs w:val="24"/>
          <w:lang/>
        </w:rPr>
        <w:t xml:space="preserve"> </w:t>
      </w:r>
    </w:p>
    <w:p w:rsidR="006A0D97" w:rsidRPr="006A0D97" w:rsidRDefault="006A0D97" w:rsidP="006A0D97">
      <w:pPr>
        <w:shd w:val="clear" w:color="auto" w:fill="FFFFFF"/>
        <w:spacing w:after="0" w:line="240" w:lineRule="auto"/>
        <w:rPr>
          <w:rFonts w:ascii="Times New Roman" w:eastAsia="Times New Roman" w:hAnsi="Times New Roman" w:cs="Times New Roman"/>
          <w:sz w:val="24"/>
          <w:szCs w:val="24"/>
          <w:lang/>
        </w:rPr>
      </w:pPr>
      <w:r w:rsidRPr="006A0D97">
        <w:rPr>
          <w:rFonts w:ascii="Times New Roman" w:eastAsia="Times New Roman" w:hAnsi="Times New Roman" w:cs="Times New Roman"/>
          <w:sz w:val="24"/>
          <w:szCs w:val="24"/>
          <w:lang/>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in;height:18pt" o:ole="">
            <v:imagedata r:id="rId5" o:title=""/>
          </v:shape>
          <w:control r:id="rId6" w:name="DefaultOcxName" w:shapeid="_x0000_i1029"/>
        </w:object>
      </w:r>
    </w:p>
    <w:p w:rsidR="006A0D97" w:rsidRPr="006A0D97" w:rsidRDefault="006A0D97" w:rsidP="006A0D97">
      <w:pPr>
        <w:shd w:val="clear" w:color="auto" w:fill="FFFFFF"/>
        <w:spacing w:after="0" w:line="360" w:lineRule="atLeast"/>
        <w:jc w:val="center"/>
        <w:rPr>
          <w:rFonts w:ascii="Times New Roman" w:eastAsia="Times New Roman" w:hAnsi="Times New Roman" w:cs="Times New Roman"/>
          <w:color w:val="FFFFFF"/>
          <w:sz w:val="24"/>
          <w:szCs w:val="24"/>
          <w:lang/>
        </w:rPr>
      </w:pPr>
      <w:r w:rsidRPr="006A0D97">
        <w:rPr>
          <w:rFonts w:ascii="PMingLiU" w:eastAsia="PMingLiU" w:hAnsi="PMingLiU" w:cs="PMingLiU" w:hint="eastAsia"/>
          <w:vanish/>
          <w:color w:val="FFFFFF"/>
          <w:sz w:val="24"/>
          <w:szCs w:val="24"/>
          <w:lang/>
        </w:rPr>
        <w:t>产业</w:t>
      </w:r>
      <w:r w:rsidRPr="006A0D97">
        <w:rPr>
          <w:rFonts w:ascii="Times New Roman" w:eastAsia="Times New Roman" w:hAnsi="Times New Roman" w:cs="Times New Roman"/>
          <w:color w:val="FFFFFF"/>
          <w:sz w:val="24"/>
          <w:szCs w:val="24"/>
          <w:lang/>
        </w:rPr>
        <w:t xml:space="preserve"> industry </w:t>
      </w:r>
    </w:p>
    <w:p w:rsidR="006A0D97" w:rsidRPr="006A0D97" w:rsidRDefault="006A0D97" w:rsidP="006A0D97">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rPr>
      </w:pPr>
      <w:bookmarkStart w:id="0" w:name="_GoBack"/>
      <w:bookmarkEnd w:id="0"/>
      <w:r w:rsidRPr="006A0D97">
        <w:rPr>
          <w:rFonts w:ascii="Times New Roman" w:eastAsia="Times New Roman" w:hAnsi="Times New Roman" w:cs="Times New Roman"/>
          <w:noProof/>
          <w:sz w:val="24"/>
          <w:szCs w:val="24"/>
        </w:rPr>
        <w:drawing>
          <wp:inline distT="0" distB="0" distL="0" distR="0">
            <wp:extent cx="4572000" cy="2990850"/>
            <wp:effectExtent l="0" t="0" r="0" b="0"/>
            <wp:docPr id="1" name="Picture 1" descr="最高法院第16批指导性案例（3月9日上午发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最高法院第16批指导性案例（3月9日上午发布）"/>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2990850"/>
                    </a:xfrm>
                    <a:prstGeom prst="rect">
                      <a:avLst/>
                    </a:prstGeom>
                    <a:noFill/>
                    <a:ln>
                      <a:noFill/>
                    </a:ln>
                  </pic:spPr>
                </pic:pic>
              </a:graphicData>
            </a:graphic>
          </wp:inline>
        </w:drawing>
      </w:r>
    </w:p>
    <w:p w:rsidR="006A0D97" w:rsidRPr="006A0D97" w:rsidRDefault="006A0D97" w:rsidP="006A0D97">
      <w:pPr>
        <w:shd w:val="clear" w:color="auto" w:fill="FFFFFF"/>
        <w:spacing w:before="100" w:beforeAutospacing="1" w:after="100" w:afterAutospacing="1" w:line="240" w:lineRule="auto"/>
        <w:rPr>
          <w:rFonts w:ascii="Times New Roman" w:eastAsia="Times New Roman" w:hAnsi="Times New Roman" w:cs="Times New Roman"/>
          <w:sz w:val="24"/>
          <w:szCs w:val="24"/>
          <w:lang/>
        </w:rPr>
      </w:pPr>
    </w:p>
    <w:p w:rsidR="006A0D97" w:rsidRPr="006A0D97" w:rsidRDefault="006A0D97" w:rsidP="006A0D97">
      <w:pPr>
        <w:shd w:val="clear" w:color="auto" w:fill="FFFFFF"/>
        <w:spacing w:before="100" w:beforeAutospacing="1" w:after="100" w:afterAutospacing="1" w:line="240" w:lineRule="auto"/>
        <w:rPr>
          <w:rFonts w:ascii="Times New Roman" w:eastAsia="Times New Roman" w:hAnsi="Times New Roman" w:cs="Times New Roman"/>
          <w:sz w:val="24"/>
          <w:szCs w:val="24"/>
          <w:lang/>
        </w:rPr>
      </w:pPr>
      <w:r w:rsidRPr="006A0D97">
        <w:rPr>
          <w:rFonts w:ascii="PMingLiU" w:eastAsia="PMingLiU" w:hAnsi="PMingLiU" w:cs="PMingLiU" w:hint="eastAsia"/>
          <w:b/>
          <w:bCs/>
          <w:vanish/>
          <w:color w:val="0070C0"/>
          <w:sz w:val="21"/>
          <w:szCs w:val="21"/>
          <w:lang/>
        </w:rPr>
        <w:t>原标题：最高法院第</w:t>
      </w:r>
      <w:r w:rsidRPr="006A0D97">
        <w:rPr>
          <w:rFonts w:ascii="Times New Roman" w:eastAsia="Times New Roman" w:hAnsi="Times New Roman" w:cs="Times New Roman"/>
          <w:b/>
          <w:bCs/>
          <w:vanish/>
          <w:color w:val="0070C0"/>
          <w:sz w:val="21"/>
          <w:szCs w:val="21"/>
          <w:lang/>
        </w:rPr>
        <w:t>16</w:t>
      </w:r>
      <w:r w:rsidRPr="006A0D97">
        <w:rPr>
          <w:rFonts w:ascii="PMingLiU" w:eastAsia="PMingLiU" w:hAnsi="PMingLiU" w:cs="PMingLiU" w:hint="eastAsia"/>
          <w:b/>
          <w:bCs/>
          <w:vanish/>
          <w:color w:val="0070C0"/>
          <w:sz w:val="21"/>
          <w:szCs w:val="21"/>
          <w:lang/>
        </w:rPr>
        <w:t>批指导性案例（</w:t>
      </w:r>
      <w:r w:rsidRPr="006A0D97">
        <w:rPr>
          <w:rFonts w:ascii="Times New Roman" w:eastAsia="Times New Roman" w:hAnsi="Times New Roman" w:cs="Times New Roman"/>
          <w:b/>
          <w:bCs/>
          <w:vanish/>
          <w:color w:val="0070C0"/>
          <w:sz w:val="21"/>
          <w:szCs w:val="21"/>
          <w:lang/>
        </w:rPr>
        <w:t>3</w:t>
      </w:r>
      <w:r w:rsidRPr="006A0D97">
        <w:rPr>
          <w:rFonts w:ascii="PMingLiU" w:eastAsia="PMingLiU" w:hAnsi="PMingLiU" w:cs="PMingLiU" w:hint="eastAsia"/>
          <w:b/>
          <w:bCs/>
          <w:vanish/>
          <w:color w:val="0070C0"/>
          <w:sz w:val="21"/>
          <w:szCs w:val="21"/>
          <w:lang/>
        </w:rPr>
        <w:t>月</w:t>
      </w:r>
      <w:r w:rsidRPr="006A0D97">
        <w:rPr>
          <w:rFonts w:ascii="Times New Roman" w:eastAsia="Times New Roman" w:hAnsi="Times New Roman" w:cs="Times New Roman"/>
          <w:b/>
          <w:bCs/>
          <w:vanish/>
          <w:color w:val="0070C0"/>
          <w:sz w:val="21"/>
          <w:szCs w:val="21"/>
          <w:lang/>
        </w:rPr>
        <w:t>9</w:t>
      </w:r>
      <w:r w:rsidRPr="006A0D97">
        <w:rPr>
          <w:rFonts w:ascii="PMingLiU" w:eastAsia="PMingLiU" w:hAnsi="PMingLiU" w:cs="PMingLiU" w:hint="eastAsia"/>
          <w:b/>
          <w:bCs/>
          <w:vanish/>
          <w:color w:val="0070C0"/>
          <w:sz w:val="21"/>
          <w:szCs w:val="21"/>
          <w:lang/>
        </w:rPr>
        <w:t>日上午发布）</w:t>
      </w:r>
      <w:r w:rsidRPr="006A0D97">
        <w:rPr>
          <w:rFonts w:ascii="Times New Roman" w:eastAsia="Times New Roman" w:hAnsi="Times New Roman" w:cs="Times New Roman"/>
          <w:sz w:val="24"/>
          <w:szCs w:val="24"/>
          <w:lang/>
        </w:rPr>
        <w:t xml:space="preserve"> </w:t>
      </w:r>
      <w:r w:rsidRPr="006A0D97">
        <w:rPr>
          <w:rFonts w:ascii="Times New Roman" w:eastAsia="Times New Roman" w:hAnsi="Times New Roman" w:cs="Times New Roman"/>
          <w:b/>
          <w:bCs/>
          <w:color w:val="0070C0"/>
          <w:sz w:val="21"/>
          <w:szCs w:val="21"/>
          <w:lang/>
        </w:rPr>
        <w:t>Original title: Supreme Court 16th Guidance Case (released on the morning of March 9)</w:t>
      </w:r>
      <w:r w:rsidRPr="006A0D97">
        <w:rPr>
          <w:rFonts w:ascii="Times New Roman" w:eastAsia="Times New Roman" w:hAnsi="Times New Roman" w:cs="Times New Roman"/>
          <w:sz w:val="24"/>
          <w:szCs w:val="24"/>
          <w:lang/>
        </w:rPr>
        <w:t xml:space="preserve"> </w:t>
      </w:r>
    </w:p>
    <w:p w:rsidR="006A0D97" w:rsidRPr="006A0D97" w:rsidRDefault="006A0D97" w:rsidP="006A0D97">
      <w:pPr>
        <w:shd w:val="clear" w:color="auto" w:fill="FFFFFF"/>
        <w:spacing w:before="100" w:beforeAutospacing="1" w:after="100" w:afterAutospacing="1" w:line="240" w:lineRule="auto"/>
        <w:rPr>
          <w:rFonts w:ascii="Times New Roman" w:eastAsia="Times New Roman" w:hAnsi="Times New Roman" w:cs="Times New Roman"/>
          <w:sz w:val="24"/>
          <w:szCs w:val="24"/>
          <w:lang/>
        </w:rPr>
      </w:pPr>
    </w:p>
    <w:p w:rsidR="006A0D97" w:rsidRPr="006A0D97" w:rsidRDefault="006A0D97" w:rsidP="006A0D97">
      <w:pPr>
        <w:shd w:val="clear" w:color="auto" w:fill="FFFFFF"/>
        <w:spacing w:beforeAutospacing="1" w:after="0" w:afterAutospacing="1" w:line="240" w:lineRule="auto"/>
        <w:rPr>
          <w:rFonts w:ascii="Times New Roman" w:eastAsia="Times New Roman" w:hAnsi="Times New Roman" w:cs="Times New Roman"/>
          <w:sz w:val="24"/>
          <w:szCs w:val="24"/>
          <w:lang/>
        </w:rPr>
      </w:pPr>
      <w:r w:rsidRPr="006A0D97">
        <w:rPr>
          <w:rFonts w:ascii="Helvetica" w:eastAsia="Times New Roman" w:hAnsi="Helvetica" w:cs="Helvetica"/>
          <w:vanish/>
          <w:color w:val="333333"/>
          <w:sz w:val="24"/>
          <w:szCs w:val="24"/>
          <w:lang/>
        </w:rPr>
        <w:t>3</w:t>
      </w:r>
      <w:r w:rsidRPr="006A0D97">
        <w:rPr>
          <w:rFonts w:ascii="Microsoft JhengHei" w:eastAsia="Microsoft JhengHei" w:hAnsi="Microsoft JhengHei" w:cs="Microsoft JhengHei" w:hint="eastAsia"/>
          <w:vanish/>
          <w:color w:val="333333"/>
          <w:sz w:val="24"/>
          <w:szCs w:val="24"/>
          <w:lang/>
        </w:rPr>
        <w:t>月</w:t>
      </w:r>
      <w:r w:rsidRPr="006A0D97">
        <w:rPr>
          <w:rFonts w:ascii="Helvetica" w:eastAsia="Times New Roman" w:hAnsi="Helvetica" w:cs="Helvetica"/>
          <w:vanish/>
          <w:color w:val="333333"/>
          <w:sz w:val="24"/>
          <w:szCs w:val="24"/>
          <w:lang/>
        </w:rPr>
        <w:t>9</w:t>
      </w:r>
      <w:r w:rsidRPr="006A0D97">
        <w:rPr>
          <w:rFonts w:ascii="Microsoft JhengHei" w:eastAsia="Microsoft JhengHei" w:hAnsi="Microsoft JhengHei" w:cs="Microsoft JhengHei" w:hint="eastAsia"/>
          <w:vanish/>
          <w:color w:val="333333"/>
          <w:sz w:val="24"/>
          <w:szCs w:val="24"/>
          <w:lang/>
        </w:rPr>
        <w:t>日上午，最高人民法院举行新闻发布会，通报最高人民法院第</w:t>
      </w:r>
      <w:r w:rsidRPr="006A0D97">
        <w:rPr>
          <w:rFonts w:ascii="Helvetica" w:eastAsia="Times New Roman" w:hAnsi="Helvetica" w:cs="Helvetica"/>
          <w:vanish/>
          <w:color w:val="333333"/>
          <w:sz w:val="24"/>
          <w:szCs w:val="24"/>
          <w:lang/>
        </w:rPr>
        <w:t>16</w:t>
      </w:r>
      <w:r w:rsidRPr="006A0D97">
        <w:rPr>
          <w:rFonts w:ascii="Microsoft JhengHei" w:eastAsia="Microsoft JhengHei" w:hAnsi="Microsoft JhengHei" w:cs="Microsoft JhengHei" w:hint="eastAsia"/>
          <w:vanish/>
          <w:color w:val="333333"/>
          <w:sz w:val="24"/>
          <w:szCs w:val="24"/>
          <w:lang/>
        </w:rPr>
        <w:t>批指导性案例。</w:t>
      </w:r>
      <w:r w:rsidRPr="006A0D97">
        <w:rPr>
          <w:rFonts w:ascii="Times New Roman" w:eastAsia="Times New Roman" w:hAnsi="Times New Roman" w:cs="Times New Roman"/>
          <w:sz w:val="24"/>
          <w:szCs w:val="24"/>
          <w:lang/>
        </w:rPr>
        <w:t xml:space="preserve"> </w:t>
      </w:r>
      <w:r w:rsidRPr="006A0D97">
        <w:rPr>
          <w:rFonts w:ascii="Helvetica" w:eastAsia="Times New Roman" w:hAnsi="Helvetica" w:cs="Helvetica"/>
          <w:color w:val="333333"/>
          <w:sz w:val="24"/>
          <w:szCs w:val="24"/>
          <w:lang/>
        </w:rPr>
        <w:t>On the morning of March 9, the Supreme People's Court held a press conference to inform the Supreme People's Court of the 16th guideline case.</w:t>
      </w:r>
      <w:r w:rsidRPr="006A0D97">
        <w:rPr>
          <w:rFonts w:ascii="Times New Roman" w:eastAsia="Times New Roman" w:hAnsi="Times New Roman" w:cs="Times New Roman"/>
          <w:sz w:val="24"/>
          <w:szCs w:val="24"/>
          <w:lang/>
        </w:rPr>
        <w:t xml:space="preserve"> </w:t>
      </w:r>
      <w:r w:rsidRPr="006A0D97">
        <w:rPr>
          <w:rFonts w:ascii="Microsoft JhengHei" w:eastAsia="Microsoft JhengHei" w:hAnsi="Microsoft JhengHei" w:cs="Microsoft JhengHei" w:hint="eastAsia"/>
          <w:vanish/>
          <w:color w:val="333333"/>
          <w:sz w:val="24"/>
          <w:szCs w:val="24"/>
          <w:lang/>
        </w:rPr>
        <w:t>最高人民法院研究室副主任郭锋、最高人民法院知识产权庭副庭长王闯出席发布会，介绍指导性案例工作相关情况和该批知识产权专题指导性案例的相关情况并回答记者提问。</w:t>
      </w:r>
      <w:r w:rsidRPr="006A0D97">
        <w:rPr>
          <w:rFonts w:ascii="Times New Roman" w:eastAsia="Times New Roman" w:hAnsi="Times New Roman" w:cs="Times New Roman"/>
          <w:sz w:val="24"/>
          <w:szCs w:val="24"/>
          <w:lang/>
        </w:rPr>
        <w:t xml:space="preserve"> </w:t>
      </w:r>
      <w:r w:rsidRPr="006A0D97">
        <w:rPr>
          <w:rFonts w:ascii="Helvetica" w:eastAsia="Times New Roman" w:hAnsi="Helvetica" w:cs="Helvetica"/>
          <w:color w:val="333333"/>
          <w:sz w:val="24"/>
          <w:szCs w:val="24"/>
          <w:lang/>
        </w:rPr>
        <w:t>Guo Feng, deputy director of the Supreme People's Court Research Office, Wang Chu, deputy head of the Supreme People's Court Intellectual Property Office, attended the briefing, introduced the relevant situation of the guidance case work and the relevant circumstances of the intellectual property special guidance case and answered the questions.</w:t>
      </w:r>
      <w:r w:rsidRPr="006A0D97">
        <w:rPr>
          <w:rFonts w:ascii="Times New Roman" w:eastAsia="Times New Roman" w:hAnsi="Times New Roman" w:cs="Times New Roman"/>
          <w:sz w:val="24"/>
          <w:szCs w:val="24"/>
          <w:lang/>
        </w:rPr>
        <w:t xml:space="preserve"> </w:t>
      </w:r>
      <w:r w:rsidRPr="006A0D97">
        <w:rPr>
          <w:rFonts w:ascii="Microsoft JhengHei" w:eastAsia="Microsoft JhengHei" w:hAnsi="Microsoft JhengHei" w:cs="Microsoft JhengHei" w:hint="eastAsia"/>
          <w:vanish/>
          <w:color w:val="333333"/>
          <w:sz w:val="24"/>
          <w:szCs w:val="24"/>
          <w:lang/>
        </w:rPr>
        <w:t>最高人民法院新闻发言人王玲主持发布会。</w:t>
      </w:r>
      <w:r w:rsidRPr="006A0D97">
        <w:rPr>
          <w:rFonts w:ascii="Times New Roman" w:eastAsia="Times New Roman" w:hAnsi="Times New Roman" w:cs="Times New Roman"/>
          <w:sz w:val="24"/>
          <w:szCs w:val="24"/>
          <w:lang/>
        </w:rPr>
        <w:t xml:space="preserve"> </w:t>
      </w:r>
      <w:r w:rsidRPr="006A0D97">
        <w:rPr>
          <w:rFonts w:ascii="Helvetica" w:eastAsia="Times New Roman" w:hAnsi="Helvetica" w:cs="Helvetica"/>
          <w:color w:val="333333"/>
          <w:sz w:val="24"/>
          <w:szCs w:val="24"/>
          <w:lang/>
        </w:rPr>
        <w:t>Supreme People 's Court spokesman Wang Ling presided over the conference.</w:t>
      </w:r>
      <w:r w:rsidRPr="006A0D97">
        <w:rPr>
          <w:rFonts w:ascii="Times New Roman" w:eastAsia="Times New Roman" w:hAnsi="Times New Roman" w:cs="Times New Roman"/>
          <w:sz w:val="24"/>
          <w:szCs w:val="24"/>
          <w:lang/>
        </w:rPr>
        <w:t xml:space="preserve"> </w:t>
      </w:r>
    </w:p>
    <w:p w:rsidR="006A0D97" w:rsidRPr="006A0D97" w:rsidRDefault="006A0D97" w:rsidP="006A0D97">
      <w:pPr>
        <w:shd w:val="clear" w:color="auto" w:fill="FFFFFF"/>
        <w:spacing w:beforeAutospacing="1" w:after="0" w:afterAutospacing="1" w:line="240" w:lineRule="auto"/>
        <w:rPr>
          <w:rFonts w:ascii="Times New Roman" w:eastAsia="Times New Roman" w:hAnsi="Times New Roman" w:cs="Times New Roman"/>
          <w:sz w:val="24"/>
          <w:szCs w:val="24"/>
          <w:lang/>
        </w:rPr>
      </w:pPr>
      <w:r w:rsidRPr="006A0D97">
        <w:rPr>
          <w:rFonts w:ascii="Helvetica" w:eastAsia="Times New Roman" w:hAnsi="Helvetica" w:cs="Helvetica"/>
          <w:color w:val="333333"/>
          <w:sz w:val="24"/>
          <w:szCs w:val="24"/>
          <w:lang/>
        </w:rPr>
        <w:br/>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vanish/>
          <w:color w:val="3E3E3E"/>
          <w:sz w:val="24"/>
          <w:szCs w:val="24"/>
          <w:lang/>
        </w:rPr>
        <w:t>在当天上午的发布会上，最高人民法院通报的第</w:t>
      </w:r>
      <w:r w:rsidRPr="006A0D97">
        <w:rPr>
          <w:rFonts w:ascii="Helvetica" w:eastAsia="Times New Roman" w:hAnsi="Helvetica" w:cs="Helvetica"/>
          <w:vanish/>
          <w:color w:val="3E3E3E"/>
          <w:sz w:val="24"/>
          <w:szCs w:val="24"/>
          <w:lang/>
        </w:rPr>
        <w:t>16</w:t>
      </w:r>
      <w:r w:rsidRPr="006A0D97">
        <w:rPr>
          <w:rFonts w:ascii="Microsoft JhengHei" w:eastAsia="Microsoft JhengHei" w:hAnsi="Microsoft JhengHei" w:cs="Microsoft JhengHei" w:hint="eastAsia"/>
          <w:vanish/>
          <w:color w:val="3E3E3E"/>
          <w:sz w:val="24"/>
          <w:szCs w:val="24"/>
          <w:lang/>
        </w:rPr>
        <w:t>批一共</w:t>
      </w:r>
      <w:r w:rsidRPr="006A0D97">
        <w:rPr>
          <w:rFonts w:ascii="Helvetica" w:eastAsia="Times New Roman" w:hAnsi="Helvetica" w:cs="Helvetica"/>
          <w:vanish/>
          <w:color w:val="3E3E3E"/>
          <w:sz w:val="24"/>
          <w:szCs w:val="24"/>
          <w:lang/>
        </w:rPr>
        <w:t>10</w:t>
      </w:r>
      <w:r w:rsidRPr="006A0D97">
        <w:rPr>
          <w:rFonts w:ascii="Microsoft JhengHei" w:eastAsia="Microsoft JhengHei" w:hAnsi="Microsoft JhengHei" w:cs="Microsoft JhengHei" w:hint="eastAsia"/>
          <w:vanish/>
          <w:color w:val="3E3E3E"/>
          <w:sz w:val="24"/>
          <w:szCs w:val="24"/>
          <w:lang/>
        </w:rPr>
        <w:t>件指导性案例，均为涉及知识产权领域的指导性案例。</w:t>
      </w:r>
      <w:r w:rsidRPr="006A0D97">
        <w:rPr>
          <w:rFonts w:ascii="Helvetica" w:eastAsia="Times New Roman" w:hAnsi="Helvetica" w:cs="Helvetica"/>
          <w:color w:val="3E3E3E"/>
          <w:sz w:val="24"/>
          <w:szCs w:val="24"/>
          <w:lang/>
        </w:rPr>
        <w:t xml:space="preserve"> In the morning of the conference, the Supreme People's Court informed the 16th batch of 10 directive cases, are involved in the field of intellectual property guidance cases. </w:t>
      </w:r>
      <w:r w:rsidRPr="006A0D97">
        <w:rPr>
          <w:rFonts w:ascii="Microsoft JhengHei" w:eastAsia="Microsoft JhengHei" w:hAnsi="Microsoft JhengHei" w:cs="Microsoft JhengHei" w:hint="eastAsia"/>
          <w:vanish/>
          <w:color w:val="3E3E3E"/>
          <w:sz w:val="24"/>
          <w:szCs w:val="24"/>
          <w:lang/>
        </w:rPr>
        <w:t>其中</w:t>
      </w:r>
      <w:r w:rsidRPr="006A0D97">
        <w:rPr>
          <w:rFonts w:ascii="Helvetica" w:eastAsia="Times New Roman" w:hAnsi="Helvetica" w:cs="Helvetica"/>
          <w:vanish/>
          <w:color w:val="3E3E3E"/>
          <w:sz w:val="24"/>
          <w:szCs w:val="24"/>
          <w:lang/>
        </w:rPr>
        <w:t>9</w:t>
      </w:r>
      <w:r w:rsidRPr="006A0D97">
        <w:rPr>
          <w:rFonts w:ascii="Microsoft JhengHei" w:eastAsia="Microsoft JhengHei" w:hAnsi="Microsoft JhengHei" w:cs="Microsoft JhengHei" w:hint="eastAsia"/>
          <w:vanish/>
          <w:color w:val="3E3E3E"/>
          <w:sz w:val="24"/>
          <w:szCs w:val="24"/>
          <w:lang/>
        </w:rPr>
        <w:t>件民事案例，</w:t>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件刑事案例。</w:t>
      </w:r>
      <w:r w:rsidRPr="006A0D97">
        <w:rPr>
          <w:rFonts w:ascii="Helvetica" w:eastAsia="Times New Roman" w:hAnsi="Helvetica" w:cs="Helvetica"/>
          <w:color w:val="3E3E3E"/>
          <w:sz w:val="24"/>
          <w:szCs w:val="24"/>
          <w:lang/>
        </w:rPr>
        <w:t xml:space="preserve"> Of which nine civil cases, one criminal case. </w:t>
      </w:r>
      <w:r w:rsidRPr="006A0D97">
        <w:rPr>
          <w:rFonts w:ascii="Microsoft JhengHei" w:eastAsia="Microsoft JhengHei" w:hAnsi="Microsoft JhengHei" w:cs="Microsoft JhengHei" w:hint="eastAsia"/>
          <w:vanish/>
          <w:color w:val="3E3E3E"/>
          <w:sz w:val="24"/>
          <w:szCs w:val="24"/>
          <w:lang/>
        </w:rPr>
        <w:t>民事指导性案例主要涉及著作权侵权纠纷、商标权侵权纠纷、专利权侵权纠纷、植物新品种权侵权纠纷、反垄断领域中的捆绑交易纠纷、滥用市场支配地位纠纷等。</w:t>
      </w:r>
      <w:r w:rsidRPr="006A0D97">
        <w:rPr>
          <w:rFonts w:ascii="Helvetica" w:eastAsia="Times New Roman" w:hAnsi="Helvetica" w:cs="Helvetica"/>
          <w:color w:val="3E3E3E"/>
          <w:sz w:val="24"/>
          <w:szCs w:val="24"/>
          <w:lang/>
        </w:rPr>
        <w:t xml:space="preserve"> Civilian guidance cases mainly involve copyright infringement disputes, trademark infringement disputes, patent infringement </w:t>
      </w:r>
      <w:r w:rsidRPr="006A0D97">
        <w:rPr>
          <w:rFonts w:ascii="Helvetica" w:eastAsia="Times New Roman" w:hAnsi="Helvetica" w:cs="Helvetica"/>
          <w:color w:val="3E3E3E"/>
          <w:sz w:val="24"/>
          <w:szCs w:val="24"/>
          <w:lang/>
        </w:rPr>
        <w:lastRenderedPageBreak/>
        <w:t xml:space="preserve">disputes, infringement disputes of new varieties of plants, anti-monopoly areas in the bundled transaction disputes, abuse of market dominance disputes. </w:t>
      </w:r>
      <w:r w:rsidRPr="006A0D97">
        <w:rPr>
          <w:rFonts w:ascii="Microsoft JhengHei" w:eastAsia="Microsoft JhengHei" w:hAnsi="Microsoft JhengHei" w:cs="Microsoft JhengHei" w:hint="eastAsia"/>
          <w:vanish/>
          <w:color w:val="3E3E3E"/>
          <w:sz w:val="24"/>
          <w:szCs w:val="24"/>
          <w:lang/>
        </w:rPr>
        <w:t>刑事指导性案例涉及假冒商标犯罪。</w:t>
      </w:r>
      <w:r w:rsidRPr="006A0D97">
        <w:rPr>
          <w:rFonts w:ascii="Helvetica" w:eastAsia="Times New Roman" w:hAnsi="Helvetica" w:cs="Helvetica"/>
          <w:color w:val="3E3E3E"/>
          <w:sz w:val="24"/>
          <w:szCs w:val="24"/>
          <w:lang/>
        </w:rPr>
        <w:t xml:space="preserve"> Criminal guidance cases involving counterfeiting trademark crime. </w:t>
      </w:r>
      <w:r w:rsidRPr="006A0D97">
        <w:rPr>
          <w:rFonts w:ascii="Microsoft JhengHei" w:eastAsia="Microsoft JhengHei" w:hAnsi="Microsoft JhengHei" w:cs="Microsoft JhengHei" w:hint="eastAsia"/>
          <w:vanish/>
          <w:color w:val="3E3E3E"/>
          <w:sz w:val="24"/>
          <w:szCs w:val="24"/>
          <w:lang/>
        </w:rPr>
        <w:t>这批案例专业性强、类型多、领域新。</w:t>
      </w:r>
      <w:r w:rsidRPr="006A0D97">
        <w:rPr>
          <w:rFonts w:ascii="Helvetica" w:eastAsia="Times New Roman" w:hAnsi="Helvetica" w:cs="Helvetica"/>
          <w:color w:val="3E3E3E"/>
          <w:sz w:val="24"/>
          <w:szCs w:val="24"/>
          <w:lang/>
        </w:rPr>
        <w:t xml:space="preserve"> This case is highly professional, more types, new areas. </w:t>
      </w:r>
      <w:r w:rsidRPr="006A0D97">
        <w:rPr>
          <w:rFonts w:ascii="Microsoft JhengHei" w:eastAsia="Microsoft JhengHei" w:hAnsi="Microsoft JhengHei" w:cs="Microsoft JhengHei" w:hint="eastAsia"/>
          <w:vanish/>
          <w:color w:val="3E3E3E"/>
          <w:sz w:val="24"/>
          <w:szCs w:val="24"/>
          <w:lang/>
        </w:rPr>
        <w:t>除了传统知识产权领域的几大案件类型之外，还涉及互联网领域中反垄断、反不正当竞争等新型疑难复杂案件。</w:t>
      </w:r>
      <w:r w:rsidRPr="006A0D97">
        <w:rPr>
          <w:rFonts w:ascii="Helvetica" w:eastAsia="Times New Roman" w:hAnsi="Helvetica" w:cs="Helvetica"/>
          <w:color w:val="3E3E3E"/>
          <w:sz w:val="24"/>
          <w:szCs w:val="24"/>
          <w:lang/>
        </w:rPr>
        <w:t xml:space="preserve"> In addition to the traditional intellectual property in the field of several major types of cases, but also related to the field of Internet antitrust, anti-unfair competition and other new complex cases.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vanish/>
          <w:color w:val="3E3E3E"/>
          <w:sz w:val="24"/>
          <w:szCs w:val="24"/>
          <w:lang/>
        </w:rPr>
        <w:t>“</w:t>
      </w:r>
      <w:r w:rsidRPr="006A0D97">
        <w:rPr>
          <w:rFonts w:ascii="Microsoft JhengHei" w:eastAsia="Microsoft JhengHei" w:hAnsi="Microsoft JhengHei" w:cs="Microsoft JhengHei" w:hint="eastAsia"/>
          <w:vanish/>
          <w:color w:val="3E3E3E"/>
          <w:sz w:val="24"/>
          <w:szCs w:val="24"/>
          <w:lang/>
        </w:rPr>
        <w:t>这一批指导性案例是最高人民法院开展指导性案例发布工作以来，首次以专题形式针对某一专门审判领域集中发布指导性案例的有益尝试。有助于明确裁判规则，统一司法尺度。</w:t>
      </w:r>
      <w:r w:rsidRPr="006A0D97">
        <w:rPr>
          <w:rFonts w:ascii="Helvetica" w:eastAsia="Times New Roman" w:hAnsi="Helvetica" w:cs="Helvetica"/>
          <w:vanish/>
          <w:color w:val="3E3E3E"/>
          <w:sz w:val="24"/>
          <w:szCs w:val="24"/>
          <w:lang/>
        </w:rPr>
        <w:t>”</w:t>
      </w:r>
      <w:r w:rsidRPr="006A0D97">
        <w:rPr>
          <w:rFonts w:ascii="Microsoft JhengHei" w:eastAsia="Microsoft JhengHei" w:hAnsi="Microsoft JhengHei" w:cs="Microsoft JhengHei" w:hint="eastAsia"/>
          <w:vanish/>
          <w:color w:val="3E3E3E"/>
          <w:sz w:val="24"/>
          <w:szCs w:val="24"/>
          <w:lang/>
        </w:rPr>
        <w:t>郭锋说。</w:t>
      </w:r>
      <w:r w:rsidRPr="006A0D97">
        <w:rPr>
          <w:rFonts w:ascii="Helvetica" w:eastAsia="Times New Roman" w:hAnsi="Helvetica" w:cs="Helvetica"/>
          <w:color w:val="3E3E3E"/>
          <w:sz w:val="24"/>
          <w:szCs w:val="24"/>
          <w:lang/>
        </w:rPr>
        <w:t xml:space="preserve"> "This group of guidance cases is a useful attempt by the Supreme People's Court to issue a guided case for a first time in a specialized trial area, which has helped to clarify the rules of the judgments and harmonize the judicial standards. Guo Feng said.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vanish/>
          <w:color w:val="3E3E3E"/>
          <w:sz w:val="24"/>
          <w:szCs w:val="24"/>
          <w:lang/>
        </w:rPr>
        <w:t>郭锋介绍，自</w:t>
      </w:r>
      <w:r w:rsidRPr="006A0D97">
        <w:rPr>
          <w:rFonts w:ascii="Helvetica" w:eastAsia="Times New Roman" w:hAnsi="Helvetica" w:cs="Helvetica"/>
          <w:vanish/>
          <w:color w:val="3E3E3E"/>
          <w:sz w:val="24"/>
          <w:szCs w:val="24"/>
          <w:lang/>
        </w:rPr>
        <w:t>2011</w:t>
      </w:r>
      <w:r w:rsidRPr="006A0D97">
        <w:rPr>
          <w:rFonts w:ascii="Microsoft JhengHei" w:eastAsia="Microsoft JhengHei" w:hAnsi="Microsoft JhengHei" w:cs="Microsoft JhengHei" w:hint="eastAsia"/>
          <w:vanish/>
          <w:color w:val="3E3E3E"/>
          <w:sz w:val="24"/>
          <w:szCs w:val="24"/>
          <w:lang/>
        </w:rPr>
        <w:t>年</w:t>
      </w:r>
      <w:r w:rsidRPr="006A0D97">
        <w:rPr>
          <w:rFonts w:ascii="Helvetica" w:eastAsia="Times New Roman" w:hAnsi="Helvetica" w:cs="Helvetica"/>
          <w:vanish/>
          <w:color w:val="3E3E3E"/>
          <w:sz w:val="24"/>
          <w:szCs w:val="24"/>
          <w:lang/>
        </w:rPr>
        <w:t>12</w:t>
      </w:r>
      <w:r w:rsidRPr="006A0D97">
        <w:rPr>
          <w:rFonts w:ascii="Microsoft JhengHei" w:eastAsia="Microsoft JhengHei" w:hAnsi="Microsoft JhengHei" w:cs="Microsoft JhengHei" w:hint="eastAsia"/>
          <w:vanish/>
          <w:color w:val="3E3E3E"/>
          <w:sz w:val="24"/>
          <w:szCs w:val="24"/>
          <w:lang/>
        </w:rPr>
        <w:t>月发布第一批指导性案例以来，经过审判委员会讨论通过，迄今为止最高人民法院共发布了</w:t>
      </w:r>
      <w:r w:rsidRPr="006A0D97">
        <w:rPr>
          <w:rFonts w:ascii="Helvetica" w:eastAsia="Times New Roman" w:hAnsi="Helvetica" w:cs="Helvetica"/>
          <w:vanish/>
          <w:color w:val="3E3E3E"/>
          <w:sz w:val="24"/>
          <w:szCs w:val="24"/>
          <w:lang/>
        </w:rPr>
        <w:t>16</w:t>
      </w:r>
      <w:r w:rsidRPr="006A0D97">
        <w:rPr>
          <w:rFonts w:ascii="Microsoft JhengHei" w:eastAsia="Microsoft JhengHei" w:hAnsi="Microsoft JhengHei" w:cs="Microsoft JhengHei" w:hint="eastAsia"/>
          <w:vanish/>
          <w:color w:val="3E3E3E"/>
          <w:sz w:val="24"/>
          <w:szCs w:val="24"/>
          <w:lang/>
        </w:rPr>
        <w:t>批</w:t>
      </w:r>
      <w:r w:rsidRPr="006A0D97">
        <w:rPr>
          <w:rFonts w:ascii="Helvetica" w:eastAsia="Times New Roman" w:hAnsi="Helvetica" w:cs="Helvetica"/>
          <w:vanish/>
          <w:color w:val="3E3E3E"/>
          <w:sz w:val="24"/>
          <w:szCs w:val="24"/>
          <w:lang/>
        </w:rPr>
        <w:t>87</w:t>
      </w:r>
      <w:r w:rsidRPr="006A0D97">
        <w:rPr>
          <w:rFonts w:ascii="Microsoft JhengHei" w:eastAsia="Microsoft JhengHei" w:hAnsi="Microsoft JhengHei" w:cs="Microsoft JhengHei" w:hint="eastAsia"/>
          <w:vanish/>
          <w:color w:val="3E3E3E"/>
          <w:sz w:val="24"/>
          <w:szCs w:val="24"/>
          <w:lang/>
        </w:rPr>
        <w:t>件指导性案例。</w:t>
      </w:r>
      <w:r w:rsidRPr="006A0D97">
        <w:rPr>
          <w:rFonts w:ascii="Helvetica" w:eastAsia="Times New Roman" w:hAnsi="Helvetica" w:cs="Helvetica"/>
          <w:color w:val="3E3E3E"/>
          <w:sz w:val="24"/>
          <w:szCs w:val="24"/>
          <w:lang/>
        </w:rPr>
        <w:t xml:space="preserve"> Guo Feng introduced since the issuance of the first batch of guidance cases in December 2011, after the trial committee to discuss the adoption, so far the Supreme People's Court issued a total of 16 batches of 87 cases of guidance. </w:t>
      </w:r>
      <w:r w:rsidRPr="006A0D97">
        <w:rPr>
          <w:rFonts w:ascii="Microsoft JhengHei" w:eastAsia="Microsoft JhengHei" w:hAnsi="Microsoft JhengHei" w:cs="Microsoft JhengHei" w:hint="eastAsia"/>
          <w:vanish/>
          <w:color w:val="3E3E3E"/>
          <w:sz w:val="24"/>
          <w:szCs w:val="24"/>
          <w:lang/>
        </w:rPr>
        <w:t>其中民事案例</w:t>
      </w:r>
      <w:r w:rsidRPr="006A0D97">
        <w:rPr>
          <w:rFonts w:ascii="Helvetica" w:eastAsia="Times New Roman" w:hAnsi="Helvetica" w:cs="Helvetica"/>
          <w:vanish/>
          <w:color w:val="3E3E3E"/>
          <w:sz w:val="24"/>
          <w:szCs w:val="24"/>
          <w:lang/>
        </w:rPr>
        <w:t>55</w:t>
      </w:r>
      <w:r w:rsidRPr="006A0D97">
        <w:rPr>
          <w:rFonts w:ascii="Microsoft JhengHei" w:eastAsia="Microsoft JhengHei" w:hAnsi="Microsoft JhengHei" w:cs="Microsoft JhengHei" w:hint="eastAsia"/>
          <w:vanish/>
          <w:color w:val="3E3E3E"/>
          <w:sz w:val="24"/>
          <w:szCs w:val="24"/>
          <w:lang/>
        </w:rPr>
        <w:t>件，占</w:t>
      </w:r>
      <w:r w:rsidRPr="006A0D97">
        <w:rPr>
          <w:rFonts w:ascii="Helvetica" w:eastAsia="Times New Roman" w:hAnsi="Helvetica" w:cs="Helvetica"/>
          <w:vanish/>
          <w:color w:val="3E3E3E"/>
          <w:sz w:val="24"/>
          <w:szCs w:val="24"/>
          <w:lang/>
        </w:rPr>
        <w:t>63.22%</w:t>
      </w:r>
      <w:r w:rsidRPr="006A0D97">
        <w:rPr>
          <w:rFonts w:ascii="Microsoft JhengHei" w:eastAsia="Microsoft JhengHei" w:hAnsi="Microsoft JhengHei" w:cs="Microsoft JhengHei" w:hint="eastAsia"/>
          <w:vanish/>
          <w:color w:val="3E3E3E"/>
          <w:sz w:val="24"/>
          <w:szCs w:val="24"/>
          <w:lang/>
        </w:rPr>
        <w:t>；行政案例</w:t>
      </w:r>
      <w:r w:rsidRPr="006A0D97">
        <w:rPr>
          <w:rFonts w:ascii="Helvetica" w:eastAsia="Times New Roman" w:hAnsi="Helvetica" w:cs="Helvetica"/>
          <w:vanish/>
          <w:color w:val="3E3E3E"/>
          <w:sz w:val="24"/>
          <w:szCs w:val="24"/>
          <w:lang/>
        </w:rPr>
        <w:t>14</w:t>
      </w:r>
      <w:r w:rsidRPr="006A0D97">
        <w:rPr>
          <w:rFonts w:ascii="Microsoft JhengHei" w:eastAsia="Microsoft JhengHei" w:hAnsi="Microsoft JhengHei" w:cs="Microsoft JhengHei" w:hint="eastAsia"/>
          <w:vanish/>
          <w:color w:val="3E3E3E"/>
          <w:sz w:val="24"/>
          <w:szCs w:val="24"/>
          <w:lang/>
        </w:rPr>
        <w:t>件</w:t>
      </w:r>
      <w:r w:rsidRPr="006A0D97">
        <w:rPr>
          <w:rFonts w:ascii="Helvetica" w:eastAsia="Times New Roman" w:hAnsi="Helvetica" w:cs="Helvetica"/>
          <w:vanish/>
          <w:color w:val="3E3E3E"/>
          <w:sz w:val="24"/>
          <w:szCs w:val="24"/>
          <w:lang/>
        </w:rPr>
        <w:t>,</w:t>
      </w:r>
      <w:r w:rsidRPr="006A0D97">
        <w:rPr>
          <w:rFonts w:ascii="Microsoft JhengHei" w:eastAsia="Microsoft JhengHei" w:hAnsi="Microsoft JhengHei" w:cs="Microsoft JhengHei" w:hint="eastAsia"/>
          <w:vanish/>
          <w:color w:val="3E3E3E"/>
          <w:sz w:val="24"/>
          <w:szCs w:val="24"/>
          <w:lang/>
        </w:rPr>
        <w:t>占</w:t>
      </w:r>
      <w:r w:rsidRPr="006A0D97">
        <w:rPr>
          <w:rFonts w:ascii="Helvetica" w:eastAsia="Times New Roman" w:hAnsi="Helvetica" w:cs="Helvetica"/>
          <w:vanish/>
          <w:color w:val="3E3E3E"/>
          <w:sz w:val="24"/>
          <w:szCs w:val="24"/>
          <w:lang/>
        </w:rPr>
        <w:t>16.09%</w:t>
      </w:r>
      <w:r w:rsidRPr="006A0D97">
        <w:rPr>
          <w:rFonts w:ascii="Microsoft JhengHei" w:eastAsia="Microsoft JhengHei" w:hAnsi="Microsoft JhengHei" w:cs="Microsoft JhengHei" w:hint="eastAsia"/>
          <w:vanish/>
          <w:color w:val="3E3E3E"/>
          <w:sz w:val="24"/>
          <w:szCs w:val="24"/>
          <w:lang/>
        </w:rPr>
        <w:t>；刑事案例</w:t>
      </w:r>
      <w:r w:rsidRPr="006A0D97">
        <w:rPr>
          <w:rFonts w:ascii="Helvetica" w:eastAsia="Times New Roman" w:hAnsi="Helvetica" w:cs="Helvetica"/>
          <w:vanish/>
          <w:color w:val="3E3E3E"/>
          <w:sz w:val="24"/>
          <w:szCs w:val="24"/>
          <w:lang/>
        </w:rPr>
        <w:t>15</w:t>
      </w:r>
      <w:r w:rsidRPr="006A0D97">
        <w:rPr>
          <w:rFonts w:ascii="Microsoft JhengHei" w:eastAsia="Microsoft JhengHei" w:hAnsi="Microsoft JhengHei" w:cs="Microsoft JhengHei" w:hint="eastAsia"/>
          <w:vanish/>
          <w:color w:val="3E3E3E"/>
          <w:sz w:val="24"/>
          <w:szCs w:val="24"/>
          <w:lang/>
        </w:rPr>
        <w:t>件</w:t>
      </w:r>
      <w:r w:rsidRPr="006A0D97">
        <w:rPr>
          <w:rFonts w:ascii="Helvetica" w:eastAsia="Times New Roman" w:hAnsi="Helvetica" w:cs="Helvetica"/>
          <w:vanish/>
          <w:color w:val="3E3E3E"/>
          <w:sz w:val="24"/>
          <w:szCs w:val="24"/>
          <w:lang/>
        </w:rPr>
        <w:t>,</w:t>
      </w:r>
      <w:r w:rsidRPr="006A0D97">
        <w:rPr>
          <w:rFonts w:ascii="Microsoft JhengHei" w:eastAsia="Microsoft JhengHei" w:hAnsi="Microsoft JhengHei" w:cs="Microsoft JhengHei" w:hint="eastAsia"/>
          <w:vanish/>
          <w:color w:val="3E3E3E"/>
          <w:sz w:val="24"/>
          <w:szCs w:val="24"/>
          <w:lang/>
        </w:rPr>
        <w:t>占</w:t>
      </w:r>
      <w:r w:rsidRPr="006A0D97">
        <w:rPr>
          <w:rFonts w:ascii="Helvetica" w:eastAsia="Times New Roman" w:hAnsi="Helvetica" w:cs="Helvetica"/>
          <w:vanish/>
          <w:color w:val="3E3E3E"/>
          <w:sz w:val="24"/>
          <w:szCs w:val="24"/>
          <w:lang/>
        </w:rPr>
        <w:t>17.24%</w:t>
      </w:r>
      <w:r w:rsidRPr="006A0D97">
        <w:rPr>
          <w:rFonts w:ascii="Microsoft JhengHei" w:eastAsia="Microsoft JhengHei" w:hAnsi="Microsoft JhengHei" w:cs="Microsoft JhengHei" w:hint="eastAsia"/>
          <w:vanish/>
          <w:color w:val="3E3E3E"/>
          <w:sz w:val="24"/>
          <w:szCs w:val="24"/>
          <w:lang/>
        </w:rPr>
        <w:t>；国家赔偿案例</w:t>
      </w:r>
      <w:r w:rsidRPr="006A0D97">
        <w:rPr>
          <w:rFonts w:ascii="Helvetica" w:eastAsia="Times New Roman" w:hAnsi="Helvetica" w:cs="Helvetica"/>
          <w:vanish/>
          <w:color w:val="3E3E3E"/>
          <w:sz w:val="24"/>
          <w:szCs w:val="24"/>
          <w:lang/>
        </w:rPr>
        <w:t>3</w:t>
      </w:r>
      <w:r w:rsidRPr="006A0D97">
        <w:rPr>
          <w:rFonts w:ascii="Microsoft JhengHei" w:eastAsia="Microsoft JhengHei" w:hAnsi="Microsoft JhengHei" w:cs="Microsoft JhengHei" w:hint="eastAsia"/>
          <w:vanish/>
          <w:color w:val="3E3E3E"/>
          <w:sz w:val="24"/>
          <w:szCs w:val="24"/>
          <w:lang/>
        </w:rPr>
        <w:t>件，占</w:t>
      </w:r>
      <w:r w:rsidRPr="006A0D97">
        <w:rPr>
          <w:rFonts w:ascii="Helvetica" w:eastAsia="Times New Roman" w:hAnsi="Helvetica" w:cs="Helvetica"/>
          <w:vanish/>
          <w:color w:val="3E3E3E"/>
          <w:sz w:val="24"/>
          <w:szCs w:val="24"/>
          <w:lang/>
        </w:rPr>
        <w:t>3.45%</w:t>
      </w:r>
      <w:r w:rsidRPr="006A0D97">
        <w:rPr>
          <w:rFonts w:ascii="Microsoft JhengHei" w:eastAsia="Microsoft JhengHei" w:hAnsi="Microsoft JhengHei" w:cs="Microsoft JhengHei" w:hint="eastAsia"/>
          <w:vanish/>
          <w:color w:val="3E3E3E"/>
          <w:sz w:val="24"/>
          <w:szCs w:val="24"/>
          <w:lang/>
        </w:rPr>
        <w:t>。</w:t>
      </w:r>
      <w:r w:rsidRPr="006A0D97">
        <w:rPr>
          <w:rFonts w:ascii="Helvetica" w:eastAsia="Times New Roman" w:hAnsi="Helvetica" w:cs="Helvetica"/>
          <w:color w:val="3E3E3E"/>
          <w:sz w:val="24"/>
          <w:szCs w:val="24"/>
          <w:lang/>
        </w:rPr>
        <w:t xml:space="preserve"> Of which 55 cases of civil cases, accounting for 63.22%; administrative cases 14, accounting for 16.09%; criminal cases 15, accounting for 17.24%; state compensation case 3, accounting for 3.45%. </w:t>
      </w:r>
      <w:r w:rsidRPr="006A0D97">
        <w:rPr>
          <w:rFonts w:ascii="Microsoft JhengHei" w:eastAsia="Microsoft JhengHei" w:hAnsi="Microsoft JhengHei" w:cs="Microsoft JhengHei" w:hint="eastAsia"/>
          <w:vanish/>
          <w:color w:val="3E3E3E"/>
          <w:sz w:val="24"/>
          <w:szCs w:val="24"/>
          <w:lang/>
        </w:rPr>
        <w:t>民商案例涉及合同、侵权、劳动、公司、保险、知识产权、海事海商等领域；刑事案例涉及贪污、受贿、故意杀人、抢劫、危险驾驶、拒不支付劳动报酬等罪名；行政案例涉及行政处罚、行政征收、行政批复、政府信息公开、工伤认定、行政程序等内容；国家赔偿案例涉及刑事赔偿、司法赔偿等问题。</w:t>
      </w:r>
      <w:r w:rsidRPr="006A0D97">
        <w:rPr>
          <w:rFonts w:ascii="Helvetica" w:eastAsia="Times New Roman" w:hAnsi="Helvetica" w:cs="Helvetica"/>
          <w:color w:val="3E3E3E"/>
          <w:sz w:val="24"/>
          <w:szCs w:val="24"/>
          <w:lang/>
        </w:rPr>
        <w:t xml:space="preserve"> Civil cases involving contract, tort, labor, corporate, insurance, intellectual property, maritime maritime and other areas; criminal cases involving corruption, bribery, intentional homicide, robbery, dangerous driving, refused to pay labor remuneration; administrative cases involving administration Punishment, administrative collection, administrative approval, government information disclosure, work injury identification, administrative procedures and other content; national compensation cases involving criminal compensation, judicial compensation and other issues. </w:t>
      </w:r>
      <w:r w:rsidRPr="006A0D97">
        <w:rPr>
          <w:rFonts w:ascii="Microsoft JhengHei" w:eastAsia="Microsoft JhengHei" w:hAnsi="Microsoft JhengHei" w:cs="Microsoft JhengHei" w:hint="eastAsia"/>
          <w:vanish/>
          <w:color w:val="3E3E3E"/>
          <w:sz w:val="24"/>
          <w:szCs w:val="24"/>
          <w:lang/>
        </w:rPr>
        <w:t>发布的指导性案例中涉知识产权案例</w:t>
      </w:r>
      <w:r w:rsidRPr="006A0D97">
        <w:rPr>
          <w:rFonts w:ascii="Helvetica" w:eastAsia="Times New Roman" w:hAnsi="Helvetica" w:cs="Helvetica"/>
          <w:vanish/>
          <w:color w:val="3E3E3E"/>
          <w:sz w:val="24"/>
          <w:szCs w:val="24"/>
          <w:lang/>
        </w:rPr>
        <w:t>20</w:t>
      </w:r>
      <w:r w:rsidRPr="006A0D97">
        <w:rPr>
          <w:rFonts w:ascii="Microsoft JhengHei" w:eastAsia="Microsoft JhengHei" w:hAnsi="Microsoft JhengHei" w:cs="Microsoft JhengHei" w:hint="eastAsia"/>
          <w:vanish/>
          <w:color w:val="3E3E3E"/>
          <w:sz w:val="24"/>
          <w:szCs w:val="24"/>
          <w:lang/>
        </w:rPr>
        <w:t>个，包括</w:t>
      </w:r>
      <w:r w:rsidRPr="006A0D97">
        <w:rPr>
          <w:rFonts w:ascii="Helvetica" w:eastAsia="Times New Roman" w:hAnsi="Helvetica" w:cs="Helvetica"/>
          <w:vanish/>
          <w:color w:val="3E3E3E"/>
          <w:sz w:val="24"/>
          <w:szCs w:val="24"/>
          <w:lang/>
        </w:rPr>
        <w:t>19</w:t>
      </w:r>
      <w:r w:rsidRPr="006A0D97">
        <w:rPr>
          <w:rFonts w:ascii="Microsoft JhengHei" w:eastAsia="Microsoft JhengHei" w:hAnsi="Microsoft JhengHei" w:cs="Microsoft JhengHei" w:hint="eastAsia"/>
          <w:vanish/>
          <w:color w:val="3E3E3E"/>
          <w:sz w:val="24"/>
          <w:szCs w:val="24"/>
          <w:lang/>
        </w:rPr>
        <w:t>个涉知识产权民事案例，</w:t>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个涉知识产权刑事案例。</w:t>
      </w:r>
      <w:r w:rsidRPr="006A0D97">
        <w:rPr>
          <w:rFonts w:ascii="Helvetica" w:eastAsia="Times New Roman" w:hAnsi="Helvetica" w:cs="Helvetica"/>
          <w:color w:val="3E3E3E"/>
          <w:sz w:val="24"/>
          <w:szCs w:val="24"/>
          <w:lang/>
        </w:rPr>
        <w:t xml:space="preserve"> A total of 20 intellectual property cases were included in the guidance case, including 19 civil cases involving intellectual property rights and 1 criminal case involving intellectual property rights. </w:t>
      </w:r>
      <w:r w:rsidRPr="006A0D97">
        <w:rPr>
          <w:rFonts w:ascii="Microsoft JhengHei" w:eastAsia="Microsoft JhengHei" w:hAnsi="Microsoft JhengHei" w:cs="Microsoft JhengHei" w:hint="eastAsia"/>
          <w:vanish/>
          <w:color w:val="3E3E3E"/>
          <w:sz w:val="24"/>
          <w:szCs w:val="24"/>
          <w:lang/>
        </w:rPr>
        <w:t>涉知识产权指导性案例占发布的指导性案例总数的</w:t>
      </w:r>
      <w:r w:rsidRPr="006A0D97">
        <w:rPr>
          <w:rFonts w:ascii="Helvetica" w:eastAsia="Times New Roman" w:hAnsi="Helvetica" w:cs="Helvetica"/>
          <w:vanish/>
          <w:color w:val="3E3E3E"/>
          <w:sz w:val="24"/>
          <w:szCs w:val="24"/>
          <w:lang/>
        </w:rPr>
        <w:t>22.99%</w:t>
      </w:r>
      <w:r w:rsidRPr="006A0D97">
        <w:rPr>
          <w:rFonts w:ascii="Microsoft JhengHei" w:eastAsia="Microsoft JhengHei" w:hAnsi="Microsoft JhengHei" w:cs="Microsoft JhengHei" w:hint="eastAsia"/>
          <w:vanish/>
          <w:color w:val="3E3E3E"/>
          <w:sz w:val="24"/>
          <w:szCs w:val="24"/>
          <w:lang/>
        </w:rPr>
        <w:t>。</w:t>
      </w:r>
      <w:r w:rsidRPr="006A0D97">
        <w:rPr>
          <w:rFonts w:ascii="Helvetica" w:eastAsia="Times New Roman" w:hAnsi="Helvetica" w:cs="Helvetica"/>
          <w:color w:val="3E3E3E"/>
          <w:sz w:val="24"/>
          <w:szCs w:val="24"/>
          <w:lang/>
        </w:rPr>
        <w:t xml:space="preserve"> Involving guidance on intellectual property cases accounted for 22.99% of the total number of guidance cases issued.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vanish/>
          <w:color w:val="3E3E3E"/>
          <w:sz w:val="24"/>
          <w:szCs w:val="24"/>
          <w:lang/>
        </w:rPr>
        <w:lastRenderedPageBreak/>
        <w:t>在发布会现场，王闯分别介绍了</w:t>
      </w:r>
      <w:r w:rsidRPr="006A0D97">
        <w:rPr>
          <w:rFonts w:ascii="Helvetica" w:eastAsia="Times New Roman" w:hAnsi="Helvetica" w:cs="Helvetica"/>
          <w:vanish/>
          <w:color w:val="3E3E3E"/>
          <w:sz w:val="24"/>
          <w:szCs w:val="24"/>
          <w:lang/>
        </w:rPr>
        <w:t>10</w:t>
      </w:r>
      <w:r w:rsidRPr="006A0D97">
        <w:rPr>
          <w:rFonts w:ascii="Microsoft JhengHei" w:eastAsia="Microsoft JhengHei" w:hAnsi="Microsoft JhengHei" w:cs="Microsoft JhengHei" w:hint="eastAsia"/>
          <w:vanish/>
          <w:color w:val="3E3E3E"/>
          <w:sz w:val="24"/>
          <w:szCs w:val="24"/>
          <w:lang/>
        </w:rPr>
        <w:t>件指导性案例的相关情况。</w:t>
      </w:r>
      <w:r w:rsidRPr="006A0D97">
        <w:rPr>
          <w:rFonts w:ascii="Helvetica" w:eastAsia="Times New Roman" w:hAnsi="Helvetica" w:cs="Helvetica"/>
          <w:color w:val="3E3E3E"/>
          <w:sz w:val="24"/>
          <w:szCs w:val="24"/>
          <w:lang/>
        </w:rPr>
        <w:t xml:space="preserve"> In the conference site, Wang Chuang introduced 10 cases related to the case of guidance. </w:t>
      </w:r>
      <w:r w:rsidRPr="006A0D97">
        <w:rPr>
          <w:rFonts w:ascii="Microsoft JhengHei" w:eastAsia="Microsoft JhengHei" w:hAnsi="Microsoft JhengHei" w:cs="Microsoft JhengHei" w:hint="eastAsia"/>
          <w:vanish/>
          <w:color w:val="3E3E3E"/>
          <w:sz w:val="24"/>
          <w:szCs w:val="24"/>
          <w:lang/>
        </w:rPr>
        <w:t>随后，郭峰和王闯分别就相关问题回答记者提问。</w:t>
      </w:r>
      <w:r w:rsidRPr="006A0D97">
        <w:rPr>
          <w:rFonts w:ascii="Helvetica" w:eastAsia="Times New Roman" w:hAnsi="Helvetica" w:cs="Helvetica"/>
          <w:color w:val="3E3E3E"/>
          <w:sz w:val="24"/>
          <w:szCs w:val="24"/>
          <w:lang/>
        </w:rPr>
        <w:t xml:space="preserve"> Subsequently, Guo Feng and Wang Chuang respectively on the relevant issues to answer a reporter's question.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p>
    <w:p w:rsidR="006A0D97" w:rsidRPr="006A0D97" w:rsidRDefault="006A0D97" w:rsidP="006A0D97">
      <w:pPr>
        <w:shd w:val="clear" w:color="auto" w:fill="FFFFFF"/>
        <w:spacing w:after="0" w:line="384" w:lineRule="atLeast"/>
        <w:jc w:val="center"/>
        <w:rPr>
          <w:rFonts w:ascii="Helvetica" w:eastAsia="Times New Roman" w:hAnsi="Helvetica" w:cs="Helvetica"/>
          <w:color w:val="3E3E3E"/>
          <w:sz w:val="24"/>
          <w:szCs w:val="24"/>
          <w:lang/>
        </w:rPr>
      </w:pPr>
      <w:hyperlink r:id="rId8" w:tgtFrame="_self" w:tooltip="Supreme People 's Court" w:history="1">
        <w:r w:rsidRPr="006A0D97">
          <w:rPr>
            <w:rFonts w:ascii="Microsoft JhengHei" w:eastAsia="Microsoft JhengHei" w:hAnsi="Microsoft JhengHei" w:cs="Microsoft JhengHei" w:hint="eastAsia"/>
            <w:b/>
            <w:bCs/>
            <w:vanish/>
            <w:color w:val="0052FF"/>
            <w:sz w:val="27"/>
            <w:szCs w:val="27"/>
            <w:lang/>
          </w:rPr>
          <w:t>最高人民法院</w:t>
        </w:r>
      </w:hyperlink>
      <w:r w:rsidRPr="006A0D97">
        <w:rPr>
          <w:rFonts w:ascii="Helvetica" w:eastAsia="Times New Roman" w:hAnsi="Helvetica" w:cs="Helvetica"/>
          <w:color w:val="3E3E3E"/>
          <w:sz w:val="24"/>
          <w:szCs w:val="24"/>
          <w:lang/>
        </w:rPr>
        <w:t xml:space="preserve"> </w:t>
      </w:r>
      <w:hyperlink r:id="rId9" w:tgtFrame="_self" w:tooltip="Supreme People 's Court" w:history="1">
        <w:r w:rsidRPr="006A0D97">
          <w:rPr>
            <w:rFonts w:ascii="Helvetica" w:eastAsia="Times New Roman" w:hAnsi="Helvetica" w:cs="Helvetica"/>
            <w:b/>
            <w:bCs/>
            <w:color w:val="0052FF"/>
            <w:sz w:val="27"/>
            <w:szCs w:val="27"/>
            <w:lang/>
          </w:rPr>
          <w:t>Supreme People 's Court</w:t>
        </w:r>
      </w:hyperlink>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7"/>
          <w:szCs w:val="27"/>
          <w:lang/>
        </w:rPr>
        <w:br/>
      </w:r>
      <w:hyperlink r:id="rId10" w:tgtFrame="_self" w:tooltip="Notice on the issuance of the 16th pilot case" w:history="1">
        <w:r w:rsidRPr="006A0D97">
          <w:rPr>
            <w:rFonts w:ascii="Microsoft JhengHei" w:eastAsia="Microsoft JhengHei" w:hAnsi="Microsoft JhengHei" w:cs="Microsoft JhengHei" w:hint="eastAsia"/>
            <w:b/>
            <w:bCs/>
            <w:vanish/>
            <w:color w:val="0000FF"/>
            <w:sz w:val="27"/>
            <w:szCs w:val="27"/>
            <w:lang/>
          </w:rPr>
          <w:t>关于发布第</w:t>
        </w:r>
        <w:r w:rsidRPr="006A0D97">
          <w:rPr>
            <w:rFonts w:ascii="Helvetica" w:eastAsia="Times New Roman" w:hAnsi="Helvetica" w:cs="Helvetica"/>
            <w:b/>
            <w:bCs/>
            <w:vanish/>
            <w:color w:val="0000FF"/>
            <w:sz w:val="27"/>
            <w:szCs w:val="27"/>
            <w:lang/>
          </w:rPr>
          <w:t>16</w:t>
        </w:r>
        <w:r w:rsidRPr="006A0D97">
          <w:rPr>
            <w:rFonts w:ascii="Microsoft JhengHei" w:eastAsia="Microsoft JhengHei" w:hAnsi="Microsoft JhengHei" w:cs="Microsoft JhengHei" w:hint="eastAsia"/>
            <w:b/>
            <w:bCs/>
            <w:vanish/>
            <w:color w:val="0000FF"/>
            <w:sz w:val="27"/>
            <w:szCs w:val="27"/>
            <w:lang/>
          </w:rPr>
          <w:t>批指导性案例的通知</w:t>
        </w:r>
      </w:hyperlink>
      <w:r w:rsidRPr="006A0D97">
        <w:rPr>
          <w:rFonts w:ascii="Helvetica" w:eastAsia="Times New Roman" w:hAnsi="Helvetica" w:cs="Helvetica"/>
          <w:color w:val="3E3E3E"/>
          <w:sz w:val="24"/>
          <w:szCs w:val="24"/>
          <w:lang/>
        </w:rPr>
        <w:t xml:space="preserve"> </w:t>
      </w:r>
      <w:hyperlink r:id="rId11" w:tgtFrame="_self" w:tooltip="Notice on the issuance of the 16th pilot case" w:history="1">
        <w:r w:rsidRPr="006A0D97">
          <w:rPr>
            <w:rFonts w:ascii="Helvetica" w:eastAsia="Times New Roman" w:hAnsi="Helvetica" w:cs="Helvetica"/>
            <w:b/>
            <w:bCs/>
            <w:color w:val="0000FF"/>
            <w:sz w:val="27"/>
            <w:szCs w:val="27"/>
            <w:lang/>
          </w:rPr>
          <w:t>Notice on the issuance of the 16th pilot case</w:t>
        </w:r>
      </w:hyperlink>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vanish/>
          <w:color w:val="3E3E3E"/>
          <w:sz w:val="24"/>
          <w:szCs w:val="24"/>
          <w:lang/>
        </w:rPr>
        <w:t>各省、自治区、直辖市高级人民法院，解放军军事法院，新疆维吾尔自治区高级人民法院生产建设兵团分院：</w:t>
      </w:r>
      <w:r w:rsidRPr="006A0D97">
        <w:rPr>
          <w:rFonts w:ascii="Helvetica" w:eastAsia="Times New Roman" w:hAnsi="Helvetica" w:cs="Helvetica"/>
          <w:color w:val="3E3E3E"/>
          <w:sz w:val="24"/>
          <w:szCs w:val="24"/>
          <w:lang/>
        </w:rPr>
        <w:t xml:space="preserve"> Provinces, autonomous regions and municipalities Higher People's Court, People's Liberation Army Military Court, Xinjiang Uygur Autonomous Region Higher People's Court Production and Construction Corps Branch: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vanish/>
          <w:color w:val="3E3E3E"/>
          <w:sz w:val="24"/>
          <w:szCs w:val="24"/>
          <w:lang/>
        </w:rPr>
        <w:t>经最高人民法院审判委员会讨论决定，现将北京奇虎科技有限公司诉腾讯科技（深圳）有限公司、深圳市腾讯计算机系统有限公司滥用市场支配地位纠纷案等十个案例（指导案例</w:t>
      </w:r>
      <w:r w:rsidRPr="006A0D97">
        <w:rPr>
          <w:rFonts w:ascii="Helvetica" w:eastAsia="Times New Roman" w:hAnsi="Helvetica" w:cs="Helvetica"/>
          <w:vanish/>
          <w:color w:val="3E3E3E"/>
          <w:sz w:val="24"/>
          <w:szCs w:val="24"/>
          <w:lang/>
        </w:rPr>
        <w:t>78-87</w:t>
      </w:r>
      <w:r w:rsidRPr="006A0D97">
        <w:rPr>
          <w:rFonts w:ascii="Microsoft JhengHei" w:eastAsia="Microsoft JhengHei" w:hAnsi="Microsoft JhengHei" w:cs="Microsoft JhengHei" w:hint="eastAsia"/>
          <w:vanish/>
          <w:color w:val="3E3E3E"/>
          <w:sz w:val="24"/>
          <w:szCs w:val="24"/>
          <w:lang/>
        </w:rPr>
        <w:t>号）作为第</w:t>
      </w:r>
      <w:r w:rsidRPr="006A0D97">
        <w:rPr>
          <w:rFonts w:ascii="Helvetica" w:eastAsia="Times New Roman" w:hAnsi="Helvetica" w:cs="Helvetica"/>
          <w:vanish/>
          <w:color w:val="3E3E3E"/>
          <w:sz w:val="24"/>
          <w:szCs w:val="24"/>
          <w:lang/>
        </w:rPr>
        <w:t>16</w:t>
      </w:r>
      <w:r w:rsidRPr="006A0D97">
        <w:rPr>
          <w:rFonts w:ascii="Microsoft JhengHei" w:eastAsia="Microsoft JhengHei" w:hAnsi="Microsoft JhengHei" w:cs="Microsoft JhengHei" w:hint="eastAsia"/>
          <w:vanish/>
          <w:color w:val="3E3E3E"/>
          <w:sz w:val="24"/>
          <w:szCs w:val="24"/>
          <w:lang/>
        </w:rPr>
        <w:t>批指导性案例发布，供在审判类似案件时参照。</w:t>
      </w:r>
      <w:r w:rsidRPr="006A0D97">
        <w:rPr>
          <w:rFonts w:ascii="Helvetica" w:eastAsia="Times New Roman" w:hAnsi="Helvetica" w:cs="Helvetica"/>
          <w:color w:val="3E3E3E"/>
          <w:sz w:val="24"/>
          <w:szCs w:val="24"/>
          <w:lang/>
        </w:rPr>
        <w:t xml:space="preserve"> (Shenzhen) Co., Ltd., Shenzhen Tencent Computer System Co., Ltd. abuse of market dominance dispute case and other ten cases (to guide the case of No. 78-87), the decision of the Supreme People's Court Judgment Committee, now Beijing Qihoo Technology Co., Ltd. v. Tencent Technology (Shenzhen) Co., ) Was issued as a 16th guideline case for reference in a similar case trial.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b/>
          <w:bCs/>
          <w:vanish/>
          <w:color w:val="0052FF"/>
          <w:sz w:val="24"/>
          <w:szCs w:val="24"/>
          <w:lang/>
        </w:rPr>
        <w:t>78</w:t>
      </w:r>
      <w:r w:rsidRPr="006A0D97">
        <w:rPr>
          <w:rFonts w:ascii="Microsoft JhengHei" w:eastAsia="Microsoft JhengHei" w:hAnsi="Microsoft JhengHei" w:cs="Microsoft JhengHei" w:hint="eastAsia"/>
          <w:b/>
          <w:bCs/>
          <w:vanish/>
          <w:color w:val="0052FF"/>
          <w:sz w:val="24"/>
          <w:szCs w:val="24"/>
          <w:lang/>
        </w:rPr>
        <w:t>号：北京奇虎科技有限公司诉腾讯科技（深圳）有限公司、深圳市腾讯计算机系统有限公司滥用市场支配地位纠纷案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78: Beijing Qihoo Technology Co., Ltd. v. Tencent Technology (Shenzhen) Co., Ltd., Shenzhen Tencent Computer Systems Co., Ltd. abuse of market dominance dispute case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在反垄断案件的审理中，界定相关市场通常是重要的分析步骤。</w:t>
      </w:r>
      <w:r w:rsidRPr="006A0D97">
        <w:rPr>
          <w:rFonts w:ascii="Helvetica" w:eastAsia="Times New Roman" w:hAnsi="Helvetica" w:cs="Helvetica"/>
          <w:color w:val="3E3E3E"/>
          <w:sz w:val="24"/>
          <w:szCs w:val="24"/>
          <w:lang/>
        </w:rPr>
        <w:t xml:space="preserve"> 1. In the case of antitrust cases, the definition of the relevant market is usually an important analytical step. </w:t>
      </w:r>
      <w:r w:rsidRPr="006A0D97">
        <w:rPr>
          <w:rFonts w:ascii="Microsoft JhengHei" w:eastAsia="Microsoft JhengHei" w:hAnsi="Microsoft JhengHei" w:cs="Microsoft JhengHei" w:hint="eastAsia"/>
          <w:vanish/>
          <w:color w:val="3E3E3E"/>
          <w:sz w:val="24"/>
          <w:szCs w:val="24"/>
          <w:lang/>
        </w:rPr>
        <w:t>但是，能否明确界定相关市场取决于案件具体情况。</w:t>
      </w:r>
      <w:r w:rsidRPr="006A0D97">
        <w:rPr>
          <w:rFonts w:ascii="Helvetica" w:eastAsia="Times New Roman" w:hAnsi="Helvetica" w:cs="Helvetica"/>
          <w:color w:val="3E3E3E"/>
          <w:sz w:val="24"/>
          <w:szCs w:val="24"/>
          <w:lang/>
        </w:rPr>
        <w:t xml:space="preserve"> However, the ability to clearly define the relevant market depends on the specific circumstances of the case. </w:t>
      </w:r>
      <w:r w:rsidRPr="006A0D97">
        <w:rPr>
          <w:rFonts w:ascii="Microsoft JhengHei" w:eastAsia="Microsoft JhengHei" w:hAnsi="Microsoft JhengHei" w:cs="Microsoft JhengHei" w:hint="eastAsia"/>
          <w:vanish/>
          <w:color w:val="3E3E3E"/>
          <w:sz w:val="24"/>
          <w:szCs w:val="24"/>
          <w:lang/>
        </w:rPr>
        <w:t>在滥用市场支配地位的案件中，界定相关市场是评估经营者的市场力量及被诉垄断行为对竞争影响的工具，其本身并非目的。</w:t>
      </w:r>
      <w:r w:rsidRPr="006A0D97">
        <w:rPr>
          <w:rFonts w:ascii="Helvetica" w:eastAsia="Times New Roman" w:hAnsi="Helvetica" w:cs="Helvetica"/>
          <w:color w:val="3E3E3E"/>
          <w:sz w:val="24"/>
          <w:szCs w:val="24"/>
          <w:lang/>
        </w:rPr>
        <w:t xml:space="preserve"> In the case of abuse of market dominance, the definition of the relevant market is a tool for assessing the market forces of the operator and the impact of the monopoly on the competition, which is not an end in itself. </w:t>
      </w:r>
      <w:r w:rsidRPr="006A0D97">
        <w:rPr>
          <w:rFonts w:ascii="Microsoft JhengHei" w:eastAsia="Microsoft JhengHei" w:hAnsi="Microsoft JhengHei" w:cs="Microsoft JhengHei" w:hint="eastAsia"/>
          <w:vanish/>
          <w:color w:val="3E3E3E"/>
          <w:sz w:val="24"/>
          <w:szCs w:val="24"/>
          <w:lang/>
        </w:rPr>
        <w:t>如果通过排除或者妨碍竞争的直接证据，能够对经营者的市场地位及被诉垄断行为的市场影响进行评估，则不需要在每一个滥用市场支配地位的案件中，都明确而清楚地界定相关市场。</w:t>
      </w:r>
      <w:r w:rsidRPr="006A0D97">
        <w:rPr>
          <w:rFonts w:ascii="Helvetica" w:eastAsia="Times New Roman" w:hAnsi="Helvetica" w:cs="Helvetica"/>
          <w:color w:val="3E3E3E"/>
          <w:sz w:val="24"/>
          <w:szCs w:val="24"/>
          <w:lang/>
        </w:rPr>
        <w:t xml:space="preserve"> If, by direct evidence of exclusion or obstruction of competition, an assessment of the market position of the operator and the market impact of the act of monopoly behavior is required, there is no need to clearly and clearly define the relevant market in every case of abuse of market dominance The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lastRenderedPageBreak/>
        <w:br/>
      </w:r>
      <w:r w:rsidRPr="006A0D97">
        <w:rPr>
          <w:rFonts w:ascii="Helvetica" w:eastAsia="Times New Roman" w:hAnsi="Helvetica" w:cs="Helvetica"/>
          <w:vanish/>
          <w:color w:val="3E3E3E"/>
          <w:sz w:val="24"/>
          <w:szCs w:val="24"/>
          <w:lang/>
        </w:rPr>
        <w:t>2.</w:t>
      </w:r>
      <w:r w:rsidRPr="006A0D97">
        <w:rPr>
          <w:rFonts w:ascii="Microsoft JhengHei" w:eastAsia="Microsoft JhengHei" w:hAnsi="Microsoft JhengHei" w:cs="Microsoft JhengHei" w:hint="eastAsia"/>
          <w:vanish/>
          <w:color w:val="3E3E3E"/>
          <w:sz w:val="24"/>
          <w:szCs w:val="24"/>
          <w:lang/>
        </w:rPr>
        <w:t>假定垄断者测试（</w:t>
      </w:r>
      <w:r w:rsidRPr="006A0D97">
        <w:rPr>
          <w:rFonts w:ascii="Helvetica" w:eastAsia="Times New Roman" w:hAnsi="Helvetica" w:cs="Helvetica"/>
          <w:vanish/>
          <w:color w:val="3E3E3E"/>
          <w:sz w:val="24"/>
          <w:szCs w:val="24"/>
          <w:lang/>
        </w:rPr>
        <w:t>HMT</w:t>
      </w:r>
      <w:r w:rsidRPr="006A0D97">
        <w:rPr>
          <w:rFonts w:ascii="Microsoft JhengHei" w:eastAsia="Microsoft JhengHei" w:hAnsi="Microsoft JhengHei" w:cs="Microsoft JhengHei" w:hint="eastAsia"/>
          <w:vanish/>
          <w:color w:val="3E3E3E"/>
          <w:sz w:val="24"/>
          <w:szCs w:val="24"/>
          <w:lang/>
        </w:rPr>
        <w:t>）是普遍适用的界定相关市场的分析思路。</w:t>
      </w:r>
      <w:r w:rsidRPr="006A0D97">
        <w:rPr>
          <w:rFonts w:ascii="Helvetica" w:eastAsia="Times New Roman" w:hAnsi="Helvetica" w:cs="Helvetica"/>
          <w:color w:val="3E3E3E"/>
          <w:sz w:val="24"/>
          <w:szCs w:val="24"/>
          <w:lang/>
        </w:rPr>
        <w:t xml:space="preserve"> 2. Assume that monopolist testing (HMT) is a general application of the analysis of the relevant market. </w:t>
      </w:r>
      <w:r w:rsidRPr="006A0D97">
        <w:rPr>
          <w:rFonts w:ascii="Microsoft JhengHei" w:eastAsia="Microsoft JhengHei" w:hAnsi="Microsoft JhengHei" w:cs="Microsoft JhengHei" w:hint="eastAsia"/>
          <w:vanish/>
          <w:color w:val="3E3E3E"/>
          <w:sz w:val="24"/>
          <w:szCs w:val="24"/>
          <w:lang/>
        </w:rPr>
        <w:t>在实际运用时，假定垄断者测试可以通过价格上涨（</w:t>
      </w:r>
      <w:r w:rsidRPr="006A0D97">
        <w:rPr>
          <w:rFonts w:ascii="Helvetica" w:eastAsia="Times New Roman" w:hAnsi="Helvetica" w:cs="Helvetica"/>
          <w:vanish/>
          <w:color w:val="3E3E3E"/>
          <w:sz w:val="24"/>
          <w:szCs w:val="24"/>
          <w:lang/>
        </w:rPr>
        <w:t>SSNIP</w:t>
      </w:r>
      <w:r w:rsidRPr="006A0D97">
        <w:rPr>
          <w:rFonts w:ascii="Microsoft JhengHei" w:eastAsia="Microsoft JhengHei" w:hAnsi="Microsoft JhengHei" w:cs="Microsoft JhengHei" w:hint="eastAsia"/>
          <w:vanish/>
          <w:color w:val="3E3E3E"/>
          <w:sz w:val="24"/>
          <w:szCs w:val="24"/>
          <w:lang/>
        </w:rPr>
        <w:t>）或质量下降（</w:t>
      </w:r>
      <w:r w:rsidRPr="006A0D97">
        <w:rPr>
          <w:rFonts w:ascii="Helvetica" w:eastAsia="Times New Roman" w:hAnsi="Helvetica" w:cs="Helvetica"/>
          <w:vanish/>
          <w:color w:val="3E3E3E"/>
          <w:sz w:val="24"/>
          <w:szCs w:val="24"/>
          <w:lang/>
        </w:rPr>
        <w:t>SSNDQ</w:t>
      </w:r>
      <w:r w:rsidRPr="006A0D97">
        <w:rPr>
          <w:rFonts w:ascii="Microsoft JhengHei" w:eastAsia="Microsoft JhengHei" w:hAnsi="Microsoft JhengHei" w:cs="Microsoft JhengHei" w:hint="eastAsia"/>
          <w:vanish/>
          <w:color w:val="3E3E3E"/>
          <w:sz w:val="24"/>
          <w:szCs w:val="24"/>
          <w:lang/>
        </w:rPr>
        <w:t>）等方法进行。</w:t>
      </w:r>
      <w:r w:rsidRPr="006A0D97">
        <w:rPr>
          <w:rFonts w:ascii="Helvetica" w:eastAsia="Times New Roman" w:hAnsi="Helvetica" w:cs="Helvetica"/>
          <w:color w:val="3E3E3E"/>
          <w:sz w:val="24"/>
          <w:szCs w:val="24"/>
          <w:lang/>
        </w:rPr>
        <w:t xml:space="preserve"> In actual use, it is assumed that monopolist testing can be done by means of price increases (SSNIP) or quality degradation (SSNDQ). </w:t>
      </w:r>
      <w:r w:rsidRPr="006A0D97">
        <w:rPr>
          <w:rFonts w:ascii="Microsoft JhengHei" w:eastAsia="Microsoft JhengHei" w:hAnsi="Microsoft JhengHei" w:cs="Microsoft JhengHei" w:hint="eastAsia"/>
          <w:vanish/>
          <w:color w:val="3E3E3E"/>
          <w:sz w:val="24"/>
          <w:szCs w:val="24"/>
          <w:lang/>
        </w:rPr>
        <w:t>互联网即时通信服务的免费特征使用户具有较高的价格敏感度，采用价格上涨的测试方法将导致相关市场界定过宽，应当采用质量下降的假定垄断者测试进行定性分析。</w:t>
      </w:r>
      <w:r w:rsidRPr="006A0D97">
        <w:rPr>
          <w:rFonts w:ascii="Helvetica" w:eastAsia="Times New Roman" w:hAnsi="Helvetica" w:cs="Helvetica"/>
          <w:color w:val="3E3E3E"/>
          <w:sz w:val="24"/>
          <w:szCs w:val="24"/>
          <w:lang/>
        </w:rPr>
        <w:t xml:space="preserve"> The free features of Internet instant messaging services allow users to have a higher price sensitivity, and the use of price-rising testing methods will lead to the definition of the relevant market, should be used to qualitative analysis of the hypothetical monopoly test.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3.</w:t>
      </w:r>
      <w:r w:rsidRPr="006A0D97">
        <w:rPr>
          <w:rFonts w:ascii="Microsoft JhengHei" w:eastAsia="Microsoft JhengHei" w:hAnsi="Microsoft JhengHei" w:cs="Microsoft JhengHei" w:hint="eastAsia"/>
          <w:vanish/>
          <w:color w:val="3E3E3E"/>
          <w:sz w:val="24"/>
          <w:szCs w:val="24"/>
          <w:lang/>
        </w:rPr>
        <w:t>基于互联网即时通信服务低成本、高覆盖的特点，在界定其相关地域市场时，应当根据多数需求者选择商品的实际区域、法律法规的规定、境外竞争者的现状及进入相关地域市场的及时性等因素，进行综合评估。</w:t>
      </w:r>
      <w:r w:rsidRPr="006A0D97">
        <w:rPr>
          <w:rFonts w:ascii="Helvetica" w:eastAsia="Times New Roman" w:hAnsi="Helvetica" w:cs="Helvetica"/>
          <w:color w:val="3E3E3E"/>
          <w:sz w:val="24"/>
          <w:szCs w:val="24"/>
          <w:lang/>
        </w:rPr>
        <w:t xml:space="preserve"> 3. Based on the characteristics of low cost and high coverage of Internet instant messaging service, in defining the relevant regional market, the actual area of ​​the commodity should be selected according to the majority of the demanders, the laws and regulations, the status of the overseas competitors and the relevant regional market Timeliness and other factors, a comprehensive assessment.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4.</w:t>
      </w:r>
      <w:r w:rsidRPr="006A0D97">
        <w:rPr>
          <w:rFonts w:ascii="Microsoft JhengHei" w:eastAsia="Microsoft JhengHei" w:hAnsi="Microsoft JhengHei" w:cs="Microsoft JhengHei" w:hint="eastAsia"/>
          <w:vanish/>
          <w:color w:val="3E3E3E"/>
          <w:sz w:val="24"/>
          <w:szCs w:val="24"/>
          <w:lang/>
        </w:rPr>
        <w:t>在互联网领域中，市场份额只是判断市场支配地位的一项比较粗糙且可能具有误导性的指标，其在认定市场支配力方面的地位和作用必须根据案件具体情况确定。</w:t>
      </w:r>
      <w:r w:rsidRPr="006A0D97">
        <w:rPr>
          <w:rFonts w:ascii="Helvetica" w:eastAsia="Times New Roman" w:hAnsi="Helvetica" w:cs="Helvetica"/>
          <w:color w:val="3E3E3E"/>
          <w:sz w:val="24"/>
          <w:szCs w:val="24"/>
          <w:lang/>
        </w:rPr>
        <w:t xml:space="preserve"> 4. In the field of the Internet, market share is only a rough and possibly misleading indicator of market dominance, and its position and role in determining market dominance must be determined on the basis of the specific circumstances of the case.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b/>
          <w:bCs/>
          <w:vanish/>
          <w:color w:val="0052FF"/>
          <w:sz w:val="24"/>
          <w:szCs w:val="24"/>
          <w:lang/>
        </w:rPr>
        <w:t>79</w:t>
      </w:r>
      <w:r w:rsidRPr="006A0D97">
        <w:rPr>
          <w:rFonts w:ascii="Microsoft JhengHei" w:eastAsia="Microsoft JhengHei" w:hAnsi="Microsoft JhengHei" w:cs="Microsoft JhengHei" w:hint="eastAsia"/>
          <w:b/>
          <w:bCs/>
          <w:vanish/>
          <w:color w:val="0052FF"/>
          <w:sz w:val="24"/>
          <w:szCs w:val="24"/>
          <w:lang/>
        </w:rPr>
        <w:t>号：吴小秦诉陕西广电网络传媒（集团）股份有限公司捆绑交易纠纷案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79: Wu Xiao Qin v. Shaanxi Radio and Television Network Media (Group) Co., Ltd. bundled transaction dispute case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作为特定区域内唯一合法经营有线电视传输业务的经营者及电视节目集中播控者，在市场准入、市场份额、经营地位、经营规模等各要素上均具有优势，可以认定该经营者占有市场支配地位。</w:t>
      </w:r>
      <w:r w:rsidRPr="006A0D97">
        <w:rPr>
          <w:rFonts w:ascii="Helvetica" w:eastAsia="Times New Roman" w:hAnsi="Helvetica" w:cs="Helvetica"/>
          <w:color w:val="3E3E3E"/>
          <w:sz w:val="24"/>
          <w:szCs w:val="24"/>
          <w:lang/>
        </w:rPr>
        <w:t xml:space="preserve"> 1. As the only legitimate operators in the specific area of ​​cable operators and television programs focused on broadcast control, in the market access, market share, operating status, scale and other factors have an advantage, you can determine the operator Occupy a dominant position in the market.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2.</w:t>
      </w:r>
      <w:r w:rsidRPr="006A0D97">
        <w:rPr>
          <w:rFonts w:ascii="Microsoft JhengHei" w:eastAsia="Microsoft JhengHei" w:hAnsi="Microsoft JhengHei" w:cs="Microsoft JhengHei" w:hint="eastAsia"/>
          <w:vanish/>
          <w:color w:val="3E3E3E"/>
          <w:sz w:val="24"/>
          <w:szCs w:val="24"/>
          <w:lang/>
        </w:rPr>
        <w:t>经营者利用市场支配地位，将数字电视基本收视维护费和数字电视付费节目费捆绑在一起向消费者收取，侵害了消费者的消费选择权，不利于其他服务提供者进入数字电视服务市场。</w:t>
      </w:r>
      <w:r w:rsidRPr="006A0D97">
        <w:rPr>
          <w:rFonts w:ascii="Helvetica" w:eastAsia="Times New Roman" w:hAnsi="Helvetica" w:cs="Helvetica"/>
          <w:color w:val="3E3E3E"/>
          <w:sz w:val="24"/>
          <w:szCs w:val="24"/>
          <w:lang/>
        </w:rPr>
        <w:t xml:space="preserve"> 2. Operators use market dominance to bundle digital TV basic viewing maintenance fees and digital TV pay program fees together to consumers, infringing consumer spending options, is not conducive to other service providers into the digital TV service market The </w:t>
      </w:r>
      <w:r w:rsidRPr="006A0D97">
        <w:rPr>
          <w:rFonts w:ascii="Microsoft JhengHei" w:eastAsia="Microsoft JhengHei" w:hAnsi="Microsoft JhengHei" w:cs="Microsoft JhengHei" w:hint="eastAsia"/>
          <w:vanish/>
          <w:color w:val="3E3E3E"/>
          <w:sz w:val="24"/>
          <w:szCs w:val="24"/>
          <w:lang/>
        </w:rPr>
        <w:t>经营者即使存在两项服务分别收费的例外情形，也不足以否认其构成反垄断法所禁止的搭售。</w:t>
      </w:r>
      <w:r w:rsidRPr="006A0D97">
        <w:rPr>
          <w:rFonts w:ascii="Helvetica" w:eastAsia="Times New Roman" w:hAnsi="Helvetica" w:cs="Helvetica"/>
          <w:color w:val="3E3E3E"/>
          <w:sz w:val="24"/>
          <w:szCs w:val="24"/>
          <w:lang/>
        </w:rPr>
        <w:t xml:space="preserve"> The operator, even if there is an exceptional fee for the two services, is not sufficient to deny that it constitutes a tie-up prohibited by the anti-monopoly law.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lastRenderedPageBreak/>
        <w:br/>
      </w:r>
      <w:r w:rsidRPr="006A0D97">
        <w:rPr>
          <w:rFonts w:ascii="Helvetica" w:eastAsia="Times New Roman" w:hAnsi="Helvetica" w:cs="Helvetica"/>
          <w:b/>
          <w:bCs/>
          <w:vanish/>
          <w:color w:val="0052FF"/>
          <w:sz w:val="24"/>
          <w:szCs w:val="24"/>
          <w:lang/>
        </w:rPr>
        <w:t>80</w:t>
      </w:r>
      <w:r w:rsidRPr="006A0D97">
        <w:rPr>
          <w:rFonts w:ascii="Microsoft JhengHei" w:eastAsia="Microsoft JhengHei" w:hAnsi="Microsoft JhengHei" w:cs="Microsoft JhengHei" w:hint="eastAsia"/>
          <w:b/>
          <w:bCs/>
          <w:vanish/>
          <w:color w:val="0052FF"/>
          <w:sz w:val="24"/>
          <w:szCs w:val="24"/>
          <w:lang/>
        </w:rPr>
        <w:t>号：洪福远、邓春香诉贵州五福坊食品有限公司、贵州今彩民族文化研发有限公司著作权侵权纠纷案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80: Hong Fuyuan, Deng Chunxiang v. Guizhou Wufu Square Food Co., Ltd., Guizhou this color National Culture R &amp; D Co., Ltd. copyright infringement dispute case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vanish/>
          <w:color w:val="3E3E3E"/>
          <w:sz w:val="24"/>
          <w:szCs w:val="24"/>
          <w:lang/>
        </w:rPr>
        <w:t>民间文学艺术衍生作品的表达系独立完成且有创作性的部分，符合著作权法保护的作品特征的，应当认定作者对其独创性部分享有著作权。</w:t>
      </w:r>
      <w:r w:rsidRPr="006A0D97">
        <w:rPr>
          <w:rFonts w:ascii="Helvetica" w:eastAsia="Times New Roman" w:hAnsi="Helvetica" w:cs="Helvetica"/>
          <w:color w:val="3E3E3E"/>
          <w:sz w:val="24"/>
          <w:szCs w:val="24"/>
          <w:lang/>
        </w:rPr>
        <w:t xml:space="preserve"> The expression of derivative works of folk literature and art is an independent and creative part that conforms to the characteristics of works protected by copyright law and should be found to be copyrighted by the author.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b/>
          <w:bCs/>
          <w:vanish/>
          <w:color w:val="0052FF"/>
          <w:sz w:val="24"/>
          <w:szCs w:val="24"/>
          <w:lang/>
        </w:rPr>
        <w:t>81</w:t>
      </w:r>
      <w:r w:rsidRPr="006A0D97">
        <w:rPr>
          <w:rFonts w:ascii="Microsoft JhengHei" w:eastAsia="Microsoft JhengHei" w:hAnsi="Microsoft JhengHei" w:cs="Microsoft JhengHei" w:hint="eastAsia"/>
          <w:b/>
          <w:bCs/>
          <w:vanish/>
          <w:color w:val="0052FF"/>
          <w:sz w:val="24"/>
          <w:szCs w:val="24"/>
          <w:lang/>
        </w:rPr>
        <w:t>号：张晓燕诉雷献和、赵琪、山东爱书人音像图书有限公司著作权侵权纠纷案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81: Zhang Xiaoyan v. Lei Xianhe, Zhao Qi, Shandong love book audio and video books Co., Ltd. copyright infringement dispute case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根据同一历史题材创作的作品中的题材主线、整体线索脉络，是社会共同财富，属于思想范畴，不能为个别人垄断，任何人都有权对此类题材加以利用并创作作品。</w:t>
      </w:r>
      <w:r w:rsidRPr="006A0D97">
        <w:rPr>
          <w:rFonts w:ascii="Helvetica" w:eastAsia="Times New Roman" w:hAnsi="Helvetica" w:cs="Helvetica"/>
          <w:color w:val="3E3E3E"/>
          <w:sz w:val="24"/>
          <w:szCs w:val="24"/>
          <w:lang/>
        </w:rPr>
        <w:t xml:space="preserve"> 1. According to the same historical theme of the creation of the theme of the main line, the overall clue context is the common social wealth, belonging to the scope of thinking, not for individual monopoly, any person has the right to use and create such works.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2.</w:t>
      </w:r>
      <w:r w:rsidRPr="006A0D97">
        <w:rPr>
          <w:rFonts w:ascii="Microsoft JhengHei" w:eastAsia="Microsoft JhengHei" w:hAnsi="Microsoft JhengHei" w:cs="Microsoft JhengHei" w:hint="eastAsia"/>
          <w:vanish/>
          <w:color w:val="3E3E3E"/>
          <w:sz w:val="24"/>
          <w:szCs w:val="24"/>
          <w:lang/>
        </w:rPr>
        <w:t>判断作品是否构成侵权，应当从被诉侵权作品作者是否接触过权利人作品、被诉侵权作品与权利人作品之间是否构成实质相似等方面进行。</w:t>
      </w:r>
      <w:r w:rsidRPr="006A0D97">
        <w:rPr>
          <w:rFonts w:ascii="Helvetica" w:eastAsia="Times New Roman" w:hAnsi="Helvetica" w:cs="Helvetica"/>
          <w:color w:val="3E3E3E"/>
          <w:sz w:val="24"/>
          <w:szCs w:val="24"/>
          <w:lang/>
        </w:rPr>
        <w:t xml:space="preserve"> 2. Judging whether the work constitutes infringement, it should be from the subject of the infringing works have been exposed to the rights of the work, the infringing works and the rights of the works between the composition is substantial and so on. </w:t>
      </w:r>
      <w:r w:rsidRPr="006A0D97">
        <w:rPr>
          <w:rFonts w:ascii="Microsoft JhengHei" w:eastAsia="Microsoft JhengHei" w:hAnsi="Microsoft JhengHei" w:cs="Microsoft JhengHei" w:hint="eastAsia"/>
          <w:vanish/>
          <w:color w:val="3E3E3E"/>
          <w:sz w:val="24"/>
          <w:szCs w:val="24"/>
          <w:lang/>
        </w:rPr>
        <w:t>在判断是否构成实质相似时，应比较作者在作品表达中的取舍、选择、安排、设计等是否相同或相似，不应从思想、情感、创意、对象等方面进行比较。</w:t>
      </w:r>
      <w:r w:rsidRPr="006A0D97">
        <w:rPr>
          <w:rFonts w:ascii="Helvetica" w:eastAsia="Times New Roman" w:hAnsi="Helvetica" w:cs="Helvetica"/>
          <w:color w:val="3E3E3E"/>
          <w:sz w:val="24"/>
          <w:szCs w:val="24"/>
          <w:lang/>
        </w:rPr>
        <w:t xml:space="preserve"> When judging whether or not it constitutes a material similarity, it should compare the choice, selection, arrangement and design of the author in the expression of the works. It should not be compared with the thought, the emotion, the creative, the object and so on.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3.</w:t>
      </w:r>
      <w:r w:rsidRPr="006A0D97">
        <w:rPr>
          <w:rFonts w:ascii="Microsoft JhengHei" w:eastAsia="Microsoft JhengHei" w:hAnsi="Microsoft JhengHei" w:cs="Microsoft JhengHei" w:hint="eastAsia"/>
          <w:vanish/>
          <w:color w:val="3E3E3E"/>
          <w:sz w:val="24"/>
          <w:szCs w:val="24"/>
          <w:lang/>
        </w:rPr>
        <w:t>按照著作权法保护作品的规定，人民法院应保护作者具有独创性的表达，即思想或情感的表现形式。</w:t>
      </w:r>
      <w:r w:rsidRPr="006A0D97">
        <w:rPr>
          <w:rFonts w:ascii="Helvetica" w:eastAsia="Times New Roman" w:hAnsi="Helvetica" w:cs="Helvetica"/>
          <w:color w:val="3E3E3E"/>
          <w:sz w:val="24"/>
          <w:szCs w:val="24"/>
          <w:lang/>
        </w:rPr>
        <w:t xml:space="preserve"> 3. In accordance with the copyright law to protect the provisions of the work, the people's court should protect the author's original expression, that is, the expression of thought or emotion. </w:t>
      </w:r>
      <w:r w:rsidRPr="006A0D97">
        <w:rPr>
          <w:rFonts w:ascii="Microsoft JhengHei" w:eastAsia="Microsoft JhengHei" w:hAnsi="Microsoft JhengHei" w:cs="Microsoft JhengHei" w:hint="eastAsia"/>
          <w:vanish/>
          <w:color w:val="3E3E3E"/>
          <w:sz w:val="24"/>
          <w:szCs w:val="24"/>
          <w:lang/>
        </w:rPr>
        <w:t>对创意、素材、公有领域信息、创作形式、必要场景，以及具有唯一性或有限性的表达形式，则不予保护。</w:t>
      </w:r>
      <w:r w:rsidRPr="006A0D97">
        <w:rPr>
          <w:rFonts w:ascii="Helvetica" w:eastAsia="Times New Roman" w:hAnsi="Helvetica" w:cs="Helvetica"/>
          <w:color w:val="3E3E3E"/>
          <w:sz w:val="24"/>
          <w:szCs w:val="24"/>
          <w:lang/>
        </w:rPr>
        <w:t xml:space="preserve"> There is no protection for ideas, materials, public domain information, creative forms, necessary scenes, and expressions that are unique or limited.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lastRenderedPageBreak/>
        <w:br/>
      </w:r>
      <w:r w:rsidRPr="006A0D97">
        <w:rPr>
          <w:rFonts w:ascii="Helvetica" w:eastAsia="Times New Roman" w:hAnsi="Helvetica" w:cs="Helvetica"/>
          <w:b/>
          <w:bCs/>
          <w:vanish/>
          <w:color w:val="0052FF"/>
          <w:sz w:val="24"/>
          <w:szCs w:val="24"/>
          <w:lang/>
        </w:rPr>
        <w:t>82</w:t>
      </w:r>
      <w:r w:rsidRPr="006A0D97">
        <w:rPr>
          <w:rFonts w:ascii="Microsoft JhengHei" w:eastAsia="Microsoft JhengHei" w:hAnsi="Microsoft JhengHei" w:cs="Microsoft JhengHei" w:hint="eastAsia"/>
          <w:b/>
          <w:bCs/>
          <w:vanish/>
          <w:color w:val="0052FF"/>
          <w:sz w:val="24"/>
          <w:szCs w:val="24"/>
          <w:lang/>
        </w:rPr>
        <w:t>号：王碎永诉深圳歌力思服饰股份有限公司、杭州银泰世纪百货有限公司侵害商标权纠纷案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82: Wangrui Yongsu v. Shenzhen Song Li Si Clothing Co., Ltd., Hangzhou Intime Century Department Store Co., Ltd. infringement of trademark disputes</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vanish/>
          <w:color w:val="3E3E3E"/>
          <w:sz w:val="24"/>
          <w:szCs w:val="24"/>
          <w:lang/>
        </w:rPr>
        <w:t>当事人违反诚实信用原则，损害他人合法权益，扰乱市场正当竞争秩序，恶意取得、行使商标权并主张他人侵权的，人民法院应当以构成权利滥用为由，判决对其诉讼请求不予支持。</w:t>
      </w:r>
      <w:r w:rsidRPr="006A0D97">
        <w:rPr>
          <w:rFonts w:ascii="Helvetica" w:eastAsia="Times New Roman" w:hAnsi="Helvetica" w:cs="Helvetica"/>
          <w:color w:val="3E3E3E"/>
          <w:sz w:val="24"/>
          <w:szCs w:val="24"/>
          <w:lang/>
        </w:rPr>
        <w:t xml:space="preserve"> If the party violates the principle of honesty and credit, damages the legitimate rights and interests of others, disrupts the order of competition in the market, maliciously obtains and exercises the trademark right and advocates infringement of others, the people 's court shall, on the grounds that the abuse of the right constitutes the right, does not support its claim.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b/>
          <w:bCs/>
          <w:vanish/>
          <w:color w:val="0052FF"/>
          <w:sz w:val="24"/>
          <w:szCs w:val="24"/>
          <w:lang/>
        </w:rPr>
        <w:t>83</w:t>
      </w:r>
      <w:r w:rsidRPr="006A0D97">
        <w:rPr>
          <w:rFonts w:ascii="Microsoft JhengHei" w:eastAsia="Microsoft JhengHei" w:hAnsi="Microsoft JhengHei" w:cs="Microsoft JhengHei" w:hint="eastAsia"/>
          <w:b/>
          <w:bCs/>
          <w:vanish/>
          <w:color w:val="0052FF"/>
          <w:sz w:val="24"/>
          <w:szCs w:val="24"/>
          <w:lang/>
        </w:rPr>
        <w:t>号：威海嘉易烤生活家电有限公司诉永康市金仕德工贸有限公司、浙江天猫网络有限公司侵害发明专利权纠纷案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83: Weihai Jiayi Baked Home Appliance Co., Ltd. v. Yongkang Jinshi De Industry &amp; Trade Co., Ltd., Zhejiang Lynx Network Co., Ltd. infringement invention patent dispute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网络用户利用网络服务实施侵权行为，被侵权人依据侵权责任法向网络服务提供者所发出的要求其采取必要措施的通知，包含被侵权人身份情况、权属凭证、侵权人网络地址、侵权事实初步证据等内容的，即属有效通知。</w:t>
      </w:r>
      <w:r w:rsidRPr="006A0D97">
        <w:rPr>
          <w:rFonts w:ascii="Helvetica" w:eastAsia="Times New Roman" w:hAnsi="Helvetica" w:cs="Helvetica"/>
          <w:color w:val="3E3E3E"/>
          <w:sz w:val="24"/>
          <w:szCs w:val="24"/>
          <w:lang/>
        </w:rPr>
        <w:t xml:space="preserve"> 1. The network user uses the network service to carry out the infringement, the infringer according to the tort law to the network service provider issued by the request to take the necessary measures to inform, including the identity of the infringer, ownership certificate, the infringer's network address, Infringement of the facts of the initial evidence and other content, that is, a valid notice. </w:t>
      </w:r>
      <w:r w:rsidRPr="006A0D97">
        <w:rPr>
          <w:rFonts w:ascii="Microsoft JhengHei" w:eastAsia="Microsoft JhengHei" w:hAnsi="Microsoft JhengHei" w:cs="Microsoft JhengHei" w:hint="eastAsia"/>
          <w:vanish/>
          <w:color w:val="3E3E3E"/>
          <w:sz w:val="24"/>
          <w:szCs w:val="24"/>
          <w:lang/>
        </w:rPr>
        <w:t>网络服务提供者自行设定的投诉规则，不得影响权利人依法维护其自身合法权利。</w:t>
      </w:r>
      <w:r w:rsidRPr="006A0D97">
        <w:rPr>
          <w:rFonts w:ascii="Helvetica" w:eastAsia="Times New Roman" w:hAnsi="Helvetica" w:cs="Helvetica"/>
          <w:color w:val="3E3E3E"/>
          <w:sz w:val="24"/>
          <w:szCs w:val="24"/>
          <w:lang/>
        </w:rPr>
        <w:t xml:space="preserve"> The rules of complaint set by the network service provider shall not affect the right holder to maintain their own legal rights according to law.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2.</w:t>
      </w:r>
      <w:r w:rsidRPr="006A0D97">
        <w:rPr>
          <w:rFonts w:ascii="Microsoft JhengHei" w:eastAsia="Microsoft JhengHei" w:hAnsi="Microsoft JhengHei" w:cs="Microsoft JhengHei" w:hint="eastAsia"/>
          <w:vanish/>
          <w:color w:val="3E3E3E"/>
          <w:sz w:val="24"/>
          <w:szCs w:val="24"/>
          <w:lang/>
        </w:rPr>
        <w:t>侵权责任法第三十六条第二款所规定的网络服务提供者接到通知后所应采取的必要措施包括但并不限于删除、屏蔽、断开链接。</w:t>
      </w:r>
      <w:r w:rsidRPr="006A0D97">
        <w:rPr>
          <w:rFonts w:ascii="Helvetica" w:eastAsia="Times New Roman" w:hAnsi="Helvetica" w:cs="Helvetica"/>
          <w:color w:val="3E3E3E"/>
          <w:sz w:val="24"/>
          <w:szCs w:val="24"/>
          <w:lang/>
        </w:rPr>
        <w:t xml:space="preserve"> 2. The necessary measures to be taken by the network service provider under Article 36 (2) of the Tort Liability Act include but are not limited to deleting, shielding and disconnecting the link. </w:t>
      </w:r>
      <w:r w:rsidRPr="006A0D97">
        <w:rPr>
          <w:rFonts w:ascii="Helvetica" w:eastAsia="Times New Roman" w:hAnsi="Helvetica" w:cs="Helvetica"/>
          <w:vanish/>
          <w:color w:val="3E3E3E"/>
          <w:sz w:val="24"/>
          <w:szCs w:val="24"/>
          <w:lang/>
        </w:rPr>
        <w:t>“</w:t>
      </w:r>
      <w:r w:rsidRPr="006A0D97">
        <w:rPr>
          <w:rFonts w:ascii="Microsoft JhengHei" w:eastAsia="Microsoft JhengHei" w:hAnsi="Microsoft JhengHei" w:cs="Microsoft JhengHei" w:hint="eastAsia"/>
          <w:vanish/>
          <w:color w:val="3E3E3E"/>
          <w:sz w:val="24"/>
          <w:szCs w:val="24"/>
          <w:lang/>
        </w:rPr>
        <w:t>必要措施</w:t>
      </w:r>
      <w:r w:rsidRPr="006A0D97">
        <w:rPr>
          <w:rFonts w:ascii="Helvetica" w:eastAsia="Times New Roman" w:hAnsi="Helvetica" w:cs="Helvetica"/>
          <w:vanish/>
          <w:color w:val="3E3E3E"/>
          <w:sz w:val="24"/>
          <w:szCs w:val="24"/>
          <w:lang/>
        </w:rPr>
        <w:t>”</w:t>
      </w:r>
      <w:r w:rsidRPr="006A0D97">
        <w:rPr>
          <w:rFonts w:ascii="Microsoft JhengHei" w:eastAsia="Microsoft JhengHei" w:hAnsi="Microsoft JhengHei" w:cs="Microsoft JhengHei" w:hint="eastAsia"/>
          <w:vanish/>
          <w:color w:val="3E3E3E"/>
          <w:sz w:val="24"/>
          <w:szCs w:val="24"/>
          <w:lang/>
        </w:rPr>
        <w:t>应遵循审慎、合理的原则，根据所侵害权利的性质、侵权的具体情形和技术条件等来加以综合确定。</w:t>
      </w:r>
      <w:r w:rsidRPr="006A0D97">
        <w:rPr>
          <w:rFonts w:ascii="Helvetica" w:eastAsia="Times New Roman" w:hAnsi="Helvetica" w:cs="Helvetica"/>
          <w:color w:val="3E3E3E"/>
          <w:sz w:val="24"/>
          <w:szCs w:val="24"/>
          <w:lang/>
        </w:rPr>
        <w:t xml:space="preserve"> "Necessary measures" should be based on prudent and reasonable principles, according to the nature of the infringement, the specific circumstances of infringement and technical conditions to be integrated to determine.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lastRenderedPageBreak/>
        <w:br/>
      </w:r>
      <w:r w:rsidRPr="006A0D97">
        <w:rPr>
          <w:rFonts w:ascii="Helvetica" w:eastAsia="Times New Roman" w:hAnsi="Helvetica" w:cs="Helvetica"/>
          <w:b/>
          <w:bCs/>
          <w:vanish/>
          <w:color w:val="0052FF"/>
          <w:sz w:val="24"/>
          <w:szCs w:val="24"/>
          <w:lang/>
        </w:rPr>
        <w:t>84</w:t>
      </w:r>
      <w:r w:rsidRPr="006A0D97">
        <w:rPr>
          <w:rFonts w:ascii="Microsoft JhengHei" w:eastAsia="Microsoft JhengHei" w:hAnsi="Microsoft JhengHei" w:cs="Microsoft JhengHei" w:hint="eastAsia"/>
          <w:b/>
          <w:bCs/>
          <w:vanish/>
          <w:color w:val="0052FF"/>
          <w:sz w:val="24"/>
          <w:szCs w:val="24"/>
          <w:lang/>
        </w:rPr>
        <w:t>号：礼来公司诉常州华生制药有限公司</w:t>
      </w:r>
      <w:r w:rsidRPr="006A0D97">
        <w:rPr>
          <w:rFonts w:ascii="Helvetica" w:eastAsia="Times New Roman" w:hAnsi="Helvetica" w:cs="Helvetica"/>
          <w:vanish/>
          <w:color w:val="3E3E3E"/>
          <w:sz w:val="24"/>
          <w:szCs w:val="24"/>
          <w:lang/>
        </w:rPr>
        <w:t xml:space="preserve"> </w:t>
      </w:r>
      <w:r w:rsidRPr="006A0D97">
        <w:rPr>
          <w:rFonts w:ascii="Microsoft JhengHei" w:eastAsia="Microsoft JhengHei" w:hAnsi="Microsoft JhengHei" w:cs="Microsoft JhengHei" w:hint="eastAsia"/>
          <w:b/>
          <w:bCs/>
          <w:vanish/>
          <w:color w:val="0052FF"/>
          <w:sz w:val="24"/>
          <w:szCs w:val="24"/>
          <w:lang/>
        </w:rPr>
        <w:t>侵害发明专利权纠纷案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84: Eli Lilly Company v. Changzhou Watson Pharmaceutical Co., Ltd.</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infringement invention patent dispute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药品制备方法专利侵权纠纷中，在无其他相反证据情形下，应当推定被诉侵权药品在药监部门的备案工艺为其实际制备工艺；有证据证明被诉侵权药品备案工艺不真实的，应当充分审查被诉侵权药品的技术来源、生产规程、批生产记录、备案文件等证据，依法确定被诉侵权药品的实际制备工艺。</w:t>
      </w:r>
      <w:r w:rsidRPr="006A0D97">
        <w:rPr>
          <w:rFonts w:ascii="Helvetica" w:eastAsia="Times New Roman" w:hAnsi="Helvetica" w:cs="Helvetica"/>
          <w:color w:val="3E3E3E"/>
          <w:sz w:val="24"/>
          <w:szCs w:val="24"/>
          <w:lang/>
        </w:rPr>
        <w:t xml:space="preserve"> 1. Drug preparation method Patent infringement disputes, in the absence of other evidence of the contrary, it should be presumed to be infringing drugs in the drug regulatory department of the filing process for its actual preparation process; evidence that the alleged infringement drug filing process is untrue, Should be fully reviewed the allegedly infringing drugs, technical sources, production procedures, production records, filing documents and other evidence, according to the law to determine the actual application of torture drugs.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2.</w:t>
      </w:r>
      <w:r w:rsidRPr="006A0D97">
        <w:rPr>
          <w:rFonts w:ascii="Microsoft JhengHei" w:eastAsia="Microsoft JhengHei" w:hAnsi="Microsoft JhengHei" w:cs="Microsoft JhengHei" w:hint="eastAsia"/>
          <w:vanish/>
          <w:color w:val="3E3E3E"/>
          <w:sz w:val="24"/>
          <w:szCs w:val="24"/>
          <w:lang/>
        </w:rPr>
        <w:t>对于被诉侵权药品制备工艺等复杂的技术事实，可以综合运用技术调查官、专家辅助人、司法鉴定以及科技专家咨询等多种途径进行查明。</w:t>
      </w:r>
      <w:r w:rsidRPr="006A0D97">
        <w:rPr>
          <w:rFonts w:ascii="Helvetica" w:eastAsia="Times New Roman" w:hAnsi="Helvetica" w:cs="Helvetica"/>
          <w:color w:val="3E3E3E"/>
          <w:sz w:val="24"/>
          <w:szCs w:val="24"/>
          <w:lang/>
        </w:rPr>
        <w:t xml:space="preserve"> 2. For the complex technical facts such as the processing of infringing drugs, we can use the technical investigators, expert assistants, forensic experts and expert consultation and other means to identify.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b/>
          <w:bCs/>
          <w:vanish/>
          <w:color w:val="0052FF"/>
          <w:sz w:val="24"/>
          <w:szCs w:val="24"/>
          <w:lang/>
        </w:rPr>
        <w:t>85</w:t>
      </w:r>
      <w:r w:rsidRPr="006A0D97">
        <w:rPr>
          <w:rFonts w:ascii="Microsoft JhengHei" w:eastAsia="Microsoft JhengHei" w:hAnsi="Microsoft JhengHei" w:cs="Microsoft JhengHei" w:hint="eastAsia"/>
          <w:b/>
          <w:bCs/>
          <w:vanish/>
          <w:color w:val="0052FF"/>
          <w:sz w:val="24"/>
          <w:szCs w:val="24"/>
          <w:lang/>
        </w:rPr>
        <w:t>号：高仪股份公司诉浙江健龙卫浴有限公司侵害外观设计专利权纠纷案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No. 85: Gaoyi Company v. Zhejiang Jianlong Sanitary Ware Co., Ltd. infringement of the design patent dispute</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color w:val="3E3E3E"/>
          <w:sz w:val="24"/>
          <w:szCs w:val="24"/>
          <w:lang/>
        </w:rPr>
        <w:br/>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1.</w:t>
      </w:r>
      <w:r w:rsidRPr="006A0D97">
        <w:rPr>
          <w:rFonts w:ascii="Microsoft JhengHei" w:eastAsia="Microsoft JhengHei" w:hAnsi="Microsoft JhengHei" w:cs="Microsoft JhengHei" w:hint="eastAsia"/>
          <w:vanish/>
          <w:color w:val="3E3E3E"/>
          <w:sz w:val="24"/>
          <w:szCs w:val="24"/>
          <w:lang/>
        </w:rPr>
        <w:t>授权外观设计的设计特征体现了其不同于现有设计的创新内容，也体现了设计人对现有设计的创造性贡献。</w:t>
      </w:r>
      <w:r w:rsidRPr="006A0D97">
        <w:rPr>
          <w:rFonts w:ascii="Helvetica" w:eastAsia="Times New Roman" w:hAnsi="Helvetica" w:cs="Helvetica"/>
          <w:color w:val="3E3E3E"/>
          <w:sz w:val="24"/>
          <w:szCs w:val="24"/>
          <w:lang/>
        </w:rPr>
        <w:t xml:space="preserve"> 1. The design features of an authorized design reflect its innovative content, which is different from the existing design, and reflects the creative contribution of the designer to the existing design. </w:t>
      </w:r>
      <w:r w:rsidRPr="006A0D97">
        <w:rPr>
          <w:rFonts w:ascii="Microsoft JhengHei" w:eastAsia="Microsoft JhengHei" w:hAnsi="Microsoft JhengHei" w:cs="Microsoft JhengHei" w:hint="eastAsia"/>
          <w:vanish/>
          <w:color w:val="3E3E3E"/>
          <w:sz w:val="24"/>
          <w:szCs w:val="24"/>
          <w:lang/>
        </w:rPr>
        <w:t>如果被诉侵权设计未包含授权外观设计区别于现有设计的全部设计特征，一般可以推定被诉侵权设计与授权外观设计不近似。</w:t>
      </w:r>
      <w:r w:rsidRPr="006A0D97">
        <w:rPr>
          <w:rFonts w:ascii="Helvetica" w:eastAsia="Times New Roman" w:hAnsi="Helvetica" w:cs="Helvetica"/>
          <w:color w:val="3E3E3E"/>
          <w:sz w:val="24"/>
          <w:szCs w:val="24"/>
          <w:lang/>
        </w:rPr>
        <w:t xml:space="preserve"> If the alleged infringement design does not include the design of the design is different from the existing design of all the design features, it can be presumed that the alleged infringement design and authorization design is not similar.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vanish/>
          <w:color w:val="3E3E3E"/>
          <w:sz w:val="24"/>
          <w:szCs w:val="24"/>
          <w:lang/>
        </w:rPr>
        <w:t>2.</w:t>
      </w:r>
      <w:r w:rsidRPr="006A0D97">
        <w:rPr>
          <w:rFonts w:ascii="Microsoft JhengHei" w:eastAsia="Microsoft JhengHei" w:hAnsi="Microsoft JhengHei" w:cs="Microsoft JhengHei" w:hint="eastAsia"/>
          <w:vanish/>
          <w:color w:val="3E3E3E"/>
          <w:sz w:val="24"/>
          <w:szCs w:val="24"/>
          <w:lang/>
        </w:rPr>
        <w:t>对设计特征的认定，应当由专利权人对其所主张的设计特征进行举证。</w:t>
      </w:r>
      <w:r w:rsidRPr="006A0D97">
        <w:rPr>
          <w:rFonts w:ascii="Helvetica" w:eastAsia="Times New Roman" w:hAnsi="Helvetica" w:cs="Helvetica"/>
          <w:color w:val="3E3E3E"/>
          <w:sz w:val="24"/>
          <w:szCs w:val="24"/>
          <w:lang/>
        </w:rPr>
        <w:t xml:space="preserve"> 2. The identification of design features, the patentee should be advocated by the design characteristics of proof. </w:t>
      </w:r>
      <w:r w:rsidRPr="006A0D97">
        <w:rPr>
          <w:rFonts w:ascii="Microsoft JhengHei" w:eastAsia="Microsoft JhengHei" w:hAnsi="Microsoft JhengHei" w:cs="Microsoft JhengHei" w:hint="eastAsia"/>
          <w:vanish/>
          <w:color w:val="3E3E3E"/>
          <w:sz w:val="24"/>
          <w:szCs w:val="24"/>
          <w:lang/>
        </w:rPr>
        <w:t>人民法院在听取各方当事人质证意见基础上，对证据进行充分审查，依法确定授权外观设计的设计特征。</w:t>
      </w:r>
      <w:r w:rsidRPr="006A0D97">
        <w:rPr>
          <w:rFonts w:ascii="Helvetica" w:eastAsia="Times New Roman" w:hAnsi="Helvetica" w:cs="Helvetica"/>
          <w:color w:val="3E3E3E"/>
          <w:sz w:val="24"/>
          <w:szCs w:val="24"/>
          <w:lang/>
        </w:rPr>
        <w:t xml:space="preserve"> The people 's court shall, on the basis of listening to the opinions of the parties concerned, conduct a thorough examination of the evidence and determine the design features of the authorized design according to law.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lastRenderedPageBreak/>
        <w:br/>
      </w:r>
      <w:r w:rsidRPr="006A0D97">
        <w:rPr>
          <w:rFonts w:ascii="Helvetica" w:eastAsia="Times New Roman" w:hAnsi="Helvetica" w:cs="Helvetica"/>
          <w:vanish/>
          <w:color w:val="3E3E3E"/>
          <w:sz w:val="24"/>
          <w:szCs w:val="24"/>
          <w:lang/>
        </w:rPr>
        <w:t>3.</w:t>
      </w:r>
      <w:r w:rsidRPr="006A0D97">
        <w:rPr>
          <w:rFonts w:ascii="Microsoft JhengHei" w:eastAsia="Microsoft JhengHei" w:hAnsi="Microsoft JhengHei" w:cs="Microsoft JhengHei" w:hint="eastAsia"/>
          <w:vanish/>
          <w:color w:val="3E3E3E"/>
          <w:sz w:val="24"/>
          <w:szCs w:val="24"/>
          <w:lang/>
        </w:rPr>
        <w:t>对功能性设计特征的认定，取决于外观设计产品的一般消费者看来该设计是否仅仅由特定功能所决定，而不需要考虑该设计是否具有美感。</w:t>
      </w:r>
      <w:r w:rsidRPr="006A0D97">
        <w:rPr>
          <w:rFonts w:ascii="Helvetica" w:eastAsia="Times New Roman" w:hAnsi="Helvetica" w:cs="Helvetica"/>
          <w:color w:val="3E3E3E"/>
          <w:sz w:val="24"/>
          <w:szCs w:val="24"/>
          <w:lang/>
        </w:rPr>
        <w:t xml:space="preserve"> 3. The identification of functional design features, depending on the design of the general consumer products, whether the design is only determined by a specific function, without having to consider whether the design has a sense of beauty. </w:t>
      </w:r>
      <w:r w:rsidRPr="006A0D97">
        <w:rPr>
          <w:rFonts w:ascii="Microsoft JhengHei" w:eastAsia="Microsoft JhengHei" w:hAnsi="Microsoft JhengHei" w:cs="Microsoft JhengHei" w:hint="eastAsia"/>
          <w:vanish/>
          <w:color w:val="3E3E3E"/>
          <w:sz w:val="24"/>
          <w:szCs w:val="24"/>
          <w:lang/>
        </w:rPr>
        <w:t>功能性设计特征对于外观设计的整体视觉效果不具有显著影响。</w:t>
      </w:r>
      <w:r w:rsidRPr="006A0D97">
        <w:rPr>
          <w:rFonts w:ascii="Helvetica" w:eastAsia="Times New Roman" w:hAnsi="Helvetica" w:cs="Helvetica"/>
          <w:color w:val="3E3E3E"/>
          <w:sz w:val="24"/>
          <w:szCs w:val="24"/>
          <w:lang/>
        </w:rPr>
        <w:t xml:space="preserve"> The functional design features do not have a significant effect on the overall visual effect of the design. </w:t>
      </w:r>
      <w:r w:rsidRPr="006A0D97">
        <w:rPr>
          <w:rFonts w:ascii="Microsoft JhengHei" w:eastAsia="Microsoft JhengHei" w:hAnsi="Microsoft JhengHei" w:cs="Microsoft JhengHei" w:hint="eastAsia"/>
          <w:vanish/>
          <w:color w:val="3E3E3E"/>
          <w:sz w:val="24"/>
          <w:szCs w:val="24"/>
          <w:lang/>
        </w:rPr>
        <w:t>功能性与装饰性兼具的设计特征对整体视觉效果的影响需要考虑其装饰性的强弱，装饰性越强，对整体视觉效果的影响越大，反之则越小。</w:t>
      </w:r>
      <w:r w:rsidRPr="006A0D97">
        <w:rPr>
          <w:rFonts w:ascii="Helvetica" w:eastAsia="Times New Roman" w:hAnsi="Helvetica" w:cs="Helvetica"/>
          <w:color w:val="3E3E3E"/>
          <w:sz w:val="24"/>
          <w:szCs w:val="24"/>
          <w:lang/>
        </w:rPr>
        <w:t xml:space="preserve"> Functional and decorative design features both the impact of the overall visual effects need to consider its decorative strength, the stronger the decorative, the greater the impact on the overall visual effects, and vice versa is smaller.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b/>
          <w:bCs/>
          <w:vanish/>
          <w:color w:val="0052FF"/>
          <w:sz w:val="24"/>
          <w:szCs w:val="24"/>
          <w:lang/>
        </w:rPr>
        <w:t>86</w:t>
      </w:r>
      <w:r w:rsidRPr="006A0D97">
        <w:rPr>
          <w:rFonts w:ascii="Microsoft JhengHei" w:eastAsia="Microsoft JhengHei" w:hAnsi="Microsoft JhengHei" w:cs="Microsoft JhengHei" w:hint="eastAsia"/>
          <w:b/>
          <w:bCs/>
          <w:vanish/>
          <w:color w:val="0052FF"/>
          <w:sz w:val="24"/>
          <w:szCs w:val="24"/>
          <w:lang/>
        </w:rPr>
        <w:t>号：天津天隆种业科技有限公司与江苏徐农种业科技有限公司侵害植物新品种权纠纷案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86: Tianjin Tianlong Seed Industry Technology Co., Ltd. and Jiangsu Xu Nong Seed Industry Technology Co., Ltd. infringement of new varieties of plant disputes</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vanish/>
          <w:color w:val="3E3E3E"/>
          <w:sz w:val="24"/>
          <w:szCs w:val="24"/>
          <w:lang/>
        </w:rPr>
        <w:t>分别持有植物新品种父本与母本的双方当事人，因不能达成相互授权许可协议，导致植物新品种不能继续生产，损害双方各自利益，也不符合合作育种的目的。</w:t>
      </w:r>
      <w:r w:rsidRPr="006A0D97">
        <w:rPr>
          <w:rFonts w:ascii="Helvetica" w:eastAsia="Times New Roman" w:hAnsi="Helvetica" w:cs="Helvetica"/>
          <w:color w:val="3E3E3E"/>
          <w:sz w:val="24"/>
          <w:szCs w:val="24"/>
          <w:lang/>
        </w:rPr>
        <w:t xml:space="preserve"> It is not possible to achieve the mutual license agreement, which will lead to the failure of new varieties of plants to continue to produce, damage the interests of both parties, and do not meet the purpose of cooperative breeding. </w:t>
      </w:r>
      <w:r w:rsidRPr="006A0D97">
        <w:rPr>
          <w:rFonts w:ascii="Microsoft JhengHei" w:eastAsia="Microsoft JhengHei" w:hAnsi="Microsoft JhengHei" w:cs="Microsoft JhengHei" w:hint="eastAsia"/>
          <w:vanish/>
          <w:color w:val="3E3E3E"/>
          <w:sz w:val="24"/>
          <w:szCs w:val="24"/>
          <w:lang/>
        </w:rPr>
        <w:t>为维护社会公共利益，保障国家粮食安全，促进植物新品种转化实施，确保已广为种植的新品种继续生产，在衡量父本与母本对植物新品种生产具有基本相同价值基础上，人民法院可以直接判令双方当事人相互授权许可并相互免除相应的许可费。</w:t>
      </w:r>
      <w:r w:rsidRPr="006A0D97">
        <w:rPr>
          <w:rFonts w:ascii="Helvetica" w:eastAsia="Times New Roman" w:hAnsi="Helvetica" w:cs="Helvetica"/>
          <w:color w:val="3E3E3E"/>
          <w:sz w:val="24"/>
          <w:szCs w:val="24"/>
          <w:lang/>
        </w:rPr>
        <w:t xml:space="preserve"> In order to maintain the social and public interests, to protect the national food security, to promote the implementation of new varieties of plant transformation to ensure that new varieties have been widely planted to continue production, in the measurement of the parent and the mother of the new varieties of plant production has basically the same value on the basis of the People's Court You can directly order the parties to mutual authorization and mutual cancellation of the corresponding license fees.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Helvetica" w:eastAsia="Times New Roman" w:hAnsi="Helvetica" w:cs="Helvetica"/>
          <w:b/>
          <w:bCs/>
          <w:vanish/>
          <w:color w:val="0052FF"/>
          <w:sz w:val="24"/>
          <w:szCs w:val="24"/>
          <w:lang/>
        </w:rPr>
        <w:t>87</w:t>
      </w:r>
      <w:r w:rsidRPr="006A0D97">
        <w:rPr>
          <w:rFonts w:ascii="Microsoft JhengHei" w:eastAsia="Microsoft JhengHei" w:hAnsi="Microsoft JhengHei" w:cs="Microsoft JhengHei" w:hint="eastAsia"/>
          <w:b/>
          <w:bCs/>
          <w:vanish/>
          <w:color w:val="0052FF"/>
          <w:sz w:val="24"/>
          <w:szCs w:val="24"/>
          <w:lang/>
        </w:rPr>
        <w:t>号：郭明升、郭明锋、孙淑标假冒注册商标案</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0052FF"/>
          <w:sz w:val="24"/>
          <w:szCs w:val="24"/>
          <w:lang/>
        </w:rPr>
        <w:t>87: Guo Mingsheng, Guo Mingfeng, Sun Shubiao counterfeit registered trademark case</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b/>
          <w:bCs/>
          <w:vanish/>
          <w:color w:val="3E3E3E"/>
          <w:sz w:val="24"/>
          <w:szCs w:val="24"/>
          <w:lang/>
        </w:rPr>
        <w:t>裁判要旨</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3E3E3E"/>
          <w:sz w:val="24"/>
          <w:szCs w:val="24"/>
          <w:lang/>
        </w:rPr>
        <w:t>Referee gist</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Helvetica" w:eastAsia="Times New Roman" w:hAnsi="Helvetica" w:cs="Helvetica"/>
          <w:color w:val="3E3E3E"/>
          <w:sz w:val="24"/>
          <w:szCs w:val="24"/>
          <w:lang/>
        </w:rPr>
        <w:br/>
      </w:r>
      <w:r w:rsidRPr="006A0D97">
        <w:rPr>
          <w:rFonts w:ascii="Microsoft JhengHei" w:eastAsia="Microsoft JhengHei" w:hAnsi="Microsoft JhengHei" w:cs="Microsoft JhengHei" w:hint="eastAsia"/>
          <w:vanish/>
          <w:color w:val="3E3E3E"/>
          <w:sz w:val="24"/>
          <w:szCs w:val="24"/>
          <w:lang/>
        </w:rPr>
        <w:t>假冒注册商标犯罪的非法经营数额、违法所得数额，应当综合被告人供述、证人证言、被害人陈述、网络销售电子数据、被告人银行账户往来记录、送货单、快递公司电脑系统记录、被告人等所作记账等证据认定。</w:t>
      </w:r>
      <w:r w:rsidRPr="006A0D97">
        <w:rPr>
          <w:rFonts w:ascii="Helvetica" w:eastAsia="Times New Roman" w:hAnsi="Helvetica" w:cs="Helvetica"/>
          <w:color w:val="3E3E3E"/>
          <w:sz w:val="24"/>
          <w:szCs w:val="24"/>
          <w:lang/>
        </w:rPr>
        <w:t xml:space="preserve"> Counterfeit registered trademark crime, the amount of illegal business, the amount of illegal income should be integrated defendant confession, witness testimony, the victim statement, the network sales of electronic data, the defendant bank account records, </w:t>
      </w:r>
      <w:r w:rsidRPr="006A0D97">
        <w:rPr>
          <w:rFonts w:ascii="Helvetica" w:eastAsia="Times New Roman" w:hAnsi="Helvetica" w:cs="Helvetica"/>
          <w:color w:val="3E3E3E"/>
          <w:sz w:val="24"/>
          <w:szCs w:val="24"/>
          <w:lang/>
        </w:rPr>
        <w:lastRenderedPageBreak/>
        <w:t xml:space="preserve">delivery orders, courier company computer system records, the defendant, etc. Such as the accounting and other evidence that. </w:t>
      </w:r>
      <w:r w:rsidRPr="006A0D97">
        <w:rPr>
          <w:rFonts w:ascii="Microsoft JhengHei" w:eastAsia="Microsoft JhengHei" w:hAnsi="Microsoft JhengHei" w:cs="Microsoft JhengHei" w:hint="eastAsia"/>
          <w:vanish/>
          <w:color w:val="3E3E3E"/>
          <w:sz w:val="24"/>
          <w:szCs w:val="24"/>
          <w:lang/>
        </w:rPr>
        <w:t>被告人辩解称网络销售记录存在刷信誉的不真实交易，但无证据证实的，对其辩解不予采纳。</w:t>
      </w:r>
      <w:r w:rsidRPr="006A0D97">
        <w:rPr>
          <w:rFonts w:ascii="Helvetica" w:eastAsia="Times New Roman" w:hAnsi="Helvetica" w:cs="Helvetica"/>
          <w:color w:val="3E3E3E"/>
          <w:sz w:val="24"/>
          <w:szCs w:val="24"/>
          <w:lang/>
        </w:rPr>
        <w:t xml:space="preserve"> The defendant argued that the network sales record there is a brush of the credibility of the real deal, but no evidence to prove that their defense will not be adopted.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b/>
          <w:bCs/>
          <w:vanish/>
          <w:color w:val="888888"/>
          <w:sz w:val="21"/>
          <w:szCs w:val="21"/>
          <w:lang/>
        </w:rPr>
        <w:t>来源：上海审判研究</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888888"/>
          <w:sz w:val="21"/>
          <w:szCs w:val="21"/>
          <w:lang/>
        </w:rPr>
        <w:t>Source: Shanghai trial study</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b/>
          <w:bCs/>
          <w:vanish/>
          <w:color w:val="888888"/>
          <w:sz w:val="21"/>
          <w:szCs w:val="21"/>
          <w:lang/>
        </w:rPr>
        <w:t>编辑：</w:t>
      </w:r>
      <w:r w:rsidRPr="006A0D97">
        <w:rPr>
          <w:rFonts w:ascii="Helvetica" w:eastAsia="Times New Roman" w:hAnsi="Helvetica" w:cs="Helvetica"/>
          <w:b/>
          <w:bCs/>
          <w:vanish/>
          <w:color w:val="888888"/>
          <w:sz w:val="21"/>
          <w:szCs w:val="21"/>
          <w:lang/>
        </w:rPr>
        <w:t>IPRdaily.cn LoCo</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888888"/>
          <w:sz w:val="21"/>
          <w:szCs w:val="21"/>
          <w:lang/>
        </w:rPr>
        <w:t>Edit: IPRdaily.cn LoCo</w:t>
      </w:r>
      <w:r w:rsidRPr="006A0D97">
        <w:rPr>
          <w:rFonts w:ascii="Helvetica" w:eastAsia="Times New Roman" w:hAnsi="Helvetica" w:cs="Helvetica"/>
          <w:color w:val="3E3E3E"/>
          <w:sz w:val="24"/>
          <w:szCs w:val="24"/>
          <w:lang/>
        </w:rPr>
        <w:t xml:space="preserve"> </w:t>
      </w:r>
    </w:p>
    <w:p w:rsidR="006A0D97" w:rsidRPr="006A0D97" w:rsidRDefault="006A0D97" w:rsidP="006A0D97">
      <w:pPr>
        <w:shd w:val="clear" w:color="auto" w:fill="FFFFFF"/>
        <w:spacing w:after="0" w:line="384" w:lineRule="atLeast"/>
        <w:rPr>
          <w:rFonts w:ascii="Helvetica" w:eastAsia="Times New Roman" w:hAnsi="Helvetica" w:cs="Helvetica"/>
          <w:color w:val="3E3E3E"/>
          <w:sz w:val="24"/>
          <w:szCs w:val="24"/>
          <w:lang/>
        </w:rPr>
      </w:pPr>
      <w:r w:rsidRPr="006A0D97">
        <w:rPr>
          <w:rFonts w:ascii="Microsoft JhengHei" w:eastAsia="Microsoft JhengHei" w:hAnsi="Microsoft JhengHei" w:cs="Microsoft JhengHei" w:hint="eastAsia"/>
          <w:b/>
          <w:bCs/>
          <w:vanish/>
          <w:color w:val="888888"/>
          <w:sz w:val="21"/>
          <w:szCs w:val="21"/>
          <w:lang/>
        </w:rPr>
        <w:t>校对：</w:t>
      </w:r>
      <w:r w:rsidRPr="006A0D97">
        <w:rPr>
          <w:rFonts w:ascii="Helvetica" w:eastAsia="Times New Roman" w:hAnsi="Helvetica" w:cs="Helvetica"/>
          <w:b/>
          <w:bCs/>
          <w:vanish/>
          <w:color w:val="888888"/>
          <w:sz w:val="21"/>
          <w:szCs w:val="21"/>
          <w:lang/>
        </w:rPr>
        <w:t xml:space="preserve">IPRdaily.cn </w:t>
      </w:r>
      <w:r w:rsidRPr="006A0D97">
        <w:rPr>
          <w:rFonts w:ascii="Microsoft JhengHei" w:eastAsia="Microsoft JhengHei" w:hAnsi="Microsoft JhengHei" w:cs="Microsoft JhengHei" w:hint="eastAsia"/>
          <w:b/>
          <w:bCs/>
          <w:vanish/>
          <w:color w:val="888888"/>
          <w:sz w:val="21"/>
          <w:szCs w:val="21"/>
          <w:lang/>
        </w:rPr>
        <w:t>纵横君</w:t>
      </w:r>
      <w:r w:rsidRPr="006A0D97">
        <w:rPr>
          <w:rFonts w:ascii="Helvetica" w:eastAsia="Times New Roman" w:hAnsi="Helvetica" w:cs="Helvetica"/>
          <w:color w:val="3E3E3E"/>
          <w:sz w:val="24"/>
          <w:szCs w:val="24"/>
          <w:lang/>
        </w:rPr>
        <w:t xml:space="preserve"> </w:t>
      </w:r>
      <w:r w:rsidRPr="006A0D97">
        <w:rPr>
          <w:rFonts w:ascii="Helvetica" w:eastAsia="Times New Roman" w:hAnsi="Helvetica" w:cs="Helvetica"/>
          <w:b/>
          <w:bCs/>
          <w:color w:val="888888"/>
          <w:sz w:val="21"/>
          <w:szCs w:val="21"/>
          <w:lang/>
        </w:rPr>
        <w:t>Proofreading: IPRdaily.cn vertical and horizontal Jun</w:t>
      </w:r>
      <w:r w:rsidRPr="006A0D97">
        <w:rPr>
          <w:rFonts w:ascii="Helvetica" w:eastAsia="Times New Roman" w:hAnsi="Helvetica" w:cs="Helvetica"/>
          <w:color w:val="3E3E3E"/>
          <w:sz w:val="24"/>
          <w:szCs w:val="24"/>
          <w:lang/>
        </w:rPr>
        <w:t xml:space="preserve"> </w:t>
      </w:r>
    </w:p>
    <w:p w:rsidR="00411DEC" w:rsidRPr="006A0D97" w:rsidRDefault="00411DEC">
      <w:pPr>
        <w:rPr>
          <w:lang/>
        </w:rPr>
      </w:pPr>
    </w:p>
    <w:sectPr w:rsidR="00411DEC" w:rsidRPr="006A0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43"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D97"/>
    <w:rsid w:val="00411DEC"/>
    <w:rsid w:val="006A0D97"/>
    <w:rsid w:val="008E40A8"/>
    <w:rsid w:val="00C77134"/>
    <w:rsid w:val="00D07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BBCBA"/>
  <w15:chartTrackingRefBased/>
  <w15:docId w15:val="{2691BEE5-EC2F-4734-8D28-7A07D45C4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6A0D97"/>
    <w:pPr>
      <w:spacing w:before="100" w:beforeAutospacing="1" w:after="100" w:afterAutospacing="1" w:line="240" w:lineRule="auto"/>
      <w:outlineLvl w:val="0"/>
    </w:pPr>
    <w:rPr>
      <w:rFonts w:ascii="Times New Roman" w:eastAsia="Times New Roman" w:hAnsi="Times New Roman" w:cs="Times New Roman"/>
      <w:kern w:val="3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D97"/>
    <w:rPr>
      <w:rFonts w:ascii="Times New Roman" w:eastAsia="Times New Roman" w:hAnsi="Times New Roman" w:cs="Times New Roman"/>
      <w:kern w:val="36"/>
      <w:sz w:val="24"/>
      <w:szCs w:val="24"/>
    </w:rPr>
  </w:style>
  <w:style w:type="character" w:styleId="Hyperlink">
    <w:name w:val="Hyperlink"/>
    <w:basedOn w:val="DefaultParagraphFont"/>
    <w:uiPriority w:val="99"/>
    <w:semiHidden/>
    <w:unhideWhenUsed/>
    <w:rsid w:val="006A0D97"/>
    <w:rPr>
      <w:strike w:val="0"/>
      <w:dstrike w:val="0"/>
      <w:color w:val="0000FF"/>
      <w:u w:val="none"/>
      <w:effect w:val="none"/>
    </w:rPr>
  </w:style>
  <w:style w:type="paragraph" w:styleId="NormalWeb">
    <w:name w:val="Normal (Web)"/>
    <w:basedOn w:val="Normal"/>
    <w:uiPriority w:val="99"/>
    <w:semiHidden/>
    <w:unhideWhenUsed/>
    <w:rsid w:val="006A0D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ranslate">
    <w:name w:val="notranslate"/>
    <w:basedOn w:val="DefaultParagraphFont"/>
    <w:rsid w:val="006A0D97"/>
  </w:style>
  <w:style w:type="character" w:customStyle="1" w:styleId="google-src-text1">
    <w:name w:val="google-src-text1"/>
    <w:basedOn w:val="DefaultParagraphFont"/>
    <w:rsid w:val="006A0D97"/>
    <w:rPr>
      <w:vanish/>
      <w:webHidden w:val="0"/>
      <w:specVanish w:val="0"/>
    </w:rPr>
  </w:style>
  <w:style w:type="character" w:styleId="Strong">
    <w:name w:val="Strong"/>
    <w:basedOn w:val="DefaultParagraphFont"/>
    <w:uiPriority w:val="22"/>
    <w:qFormat/>
    <w:rsid w:val="006A0D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2937472">
      <w:bodyDiv w:val="1"/>
      <w:marLeft w:val="0"/>
      <w:marRight w:val="0"/>
      <w:marTop w:val="0"/>
      <w:marBottom w:val="0"/>
      <w:divBdr>
        <w:top w:val="none" w:sz="0" w:space="0" w:color="auto"/>
        <w:left w:val="none" w:sz="0" w:space="0" w:color="auto"/>
        <w:bottom w:val="none" w:sz="0" w:space="0" w:color="auto"/>
        <w:right w:val="none" w:sz="0" w:space="0" w:color="auto"/>
      </w:divBdr>
      <w:divsChild>
        <w:div w:id="1847547783">
          <w:marLeft w:val="0"/>
          <w:marRight w:val="0"/>
          <w:marTop w:val="0"/>
          <w:marBottom w:val="0"/>
          <w:divBdr>
            <w:top w:val="none" w:sz="0" w:space="0" w:color="auto"/>
            <w:left w:val="none" w:sz="0" w:space="0" w:color="auto"/>
            <w:bottom w:val="none" w:sz="0" w:space="0" w:color="auto"/>
            <w:right w:val="none" w:sz="0" w:space="0" w:color="auto"/>
          </w:divBdr>
          <w:divsChild>
            <w:div w:id="501550080">
              <w:marLeft w:val="0"/>
              <w:marRight w:val="0"/>
              <w:marTop w:val="0"/>
              <w:marBottom w:val="0"/>
              <w:divBdr>
                <w:top w:val="none" w:sz="0" w:space="0" w:color="auto"/>
                <w:left w:val="none" w:sz="0" w:space="0" w:color="auto"/>
                <w:bottom w:val="none" w:sz="0" w:space="0" w:color="auto"/>
                <w:right w:val="none" w:sz="0" w:space="0" w:color="auto"/>
              </w:divBdr>
              <w:divsChild>
                <w:div w:id="653219710">
                  <w:marLeft w:val="0"/>
                  <w:marRight w:val="0"/>
                  <w:marTop w:val="0"/>
                  <w:marBottom w:val="0"/>
                  <w:divBdr>
                    <w:top w:val="none" w:sz="0" w:space="0" w:color="auto"/>
                    <w:left w:val="none" w:sz="0" w:space="0" w:color="auto"/>
                    <w:bottom w:val="none" w:sz="0" w:space="0" w:color="auto"/>
                    <w:right w:val="none" w:sz="0" w:space="0" w:color="auto"/>
                  </w:divBdr>
                  <w:divsChild>
                    <w:div w:id="1558980311">
                      <w:marLeft w:val="0"/>
                      <w:marRight w:val="0"/>
                      <w:marTop w:val="0"/>
                      <w:marBottom w:val="0"/>
                      <w:divBdr>
                        <w:top w:val="none" w:sz="0" w:space="0" w:color="auto"/>
                        <w:left w:val="none" w:sz="0" w:space="0" w:color="auto"/>
                        <w:bottom w:val="none" w:sz="0" w:space="0" w:color="auto"/>
                        <w:right w:val="none" w:sz="0" w:space="0" w:color="auto"/>
                      </w:divBdr>
                      <w:divsChild>
                        <w:div w:id="879323986">
                          <w:marLeft w:val="0"/>
                          <w:marRight w:val="0"/>
                          <w:marTop w:val="0"/>
                          <w:marBottom w:val="0"/>
                          <w:divBdr>
                            <w:top w:val="none" w:sz="0" w:space="0" w:color="auto"/>
                            <w:left w:val="none" w:sz="0" w:space="0" w:color="auto"/>
                            <w:bottom w:val="none" w:sz="0" w:space="0" w:color="auto"/>
                            <w:right w:val="none" w:sz="0" w:space="0" w:color="auto"/>
                          </w:divBdr>
                          <w:divsChild>
                            <w:div w:id="89813343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late.googleusercontent.com/translate_c?depth=1&amp;hl=en&amp;rurl=translate.google.com&amp;sl=zh-CN&amp;sp=nmt4&amp;tl=en&amp;u=http://www.iprdaily.cn/news_15772.html&amp;usg=ALkJrhg68JQPmNq7Qn1YMQhx8zOHMsoP2w"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hyperlink" Target="https://translate.googleusercontent.com/translate_c?depth=1&amp;hl=en&amp;rurl=translate.google.com&amp;sl=zh-CN&amp;sp=nmt4&amp;tl=en&amp;u=http://www.iprdaily.cn/news_15761.html&amp;usg=ALkJrhhcqjR57QXfopc_CnG839iZ32LyqQ" TargetMode="External"/><Relationship Id="rId5" Type="http://schemas.openxmlformats.org/officeDocument/2006/relationships/image" Target="media/image1.wmf"/><Relationship Id="rId10" Type="http://schemas.openxmlformats.org/officeDocument/2006/relationships/hyperlink" Target="https://translate.googleusercontent.com/translate_c?depth=1&amp;hl=en&amp;rurl=translate.google.com&amp;sl=zh-CN&amp;sp=nmt4&amp;tl=en&amp;u=http://www.iprdaily.cn/news_15761.html&amp;usg=ALkJrhhcqjR57QXfopc_CnG839iZ32LyqQ" TargetMode="External"/><Relationship Id="rId4" Type="http://schemas.openxmlformats.org/officeDocument/2006/relationships/hyperlink" Target="https://translate.googleusercontent.com/translate_c?depth=1&amp;hl=en&amp;rurl=translate.google.com&amp;sl=zh-CN&amp;sp=nmt4&amp;tl=en&amp;u=http://www.iprdaily.cn/article1_15778_20170309.html&amp;usg=ALkJrhhwPFjMEJHf8iq5eHdDy4s8B5P4aA" TargetMode="External"/><Relationship Id="rId9" Type="http://schemas.openxmlformats.org/officeDocument/2006/relationships/hyperlink" Target="https://translate.googleusercontent.com/translate_c?depth=1&amp;hl=en&amp;rurl=translate.google.com&amp;sl=zh-CN&amp;sp=nmt4&amp;tl=en&amp;u=http://www.iprdaily.cn/news_15772.html&amp;usg=ALkJrhg68JQPmNq7Qn1YMQhx8zOHMsoP2w"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2922</Words>
  <Characters>16660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1</cp:revision>
  <dcterms:created xsi:type="dcterms:W3CDTF">2017-03-12T17:23:00Z</dcterms:created>
  <dcterms:modified xsi:type="dcterms:W3CDTF">2017-03-12T17:25:00Z</dcterms:modified>
</cp:coreProperties>
</file>