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Ex1.xml" ContentType="application/vnd.ms-office.chartex+xml"/>
  <Override PartName="/word/charts/style5.xml" ContentType="application/vnd.ms-office.chartstyle+xml"/>
  <Override PartName="/word/charts/colors5.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13E195" w14:textId="62FA73EB" w:rsidR="00E6608B" w:rsidRPr="000F7ED8" w:rsidRDefault="00921132" w:rsidP="00921132">
      <w:pPr>
        <w:pStyle w:val="afe"/>
        <w:spacing w:beforeLines="150" w:before="468" w:afterLines="150" w:after="468"/>
        <w:rPr>
          <w:sz w:val="28"/>
          <w:szCs w:val="28"/>
        </w:rPr>
      </w:pPr>
      <w:r>
        <w:rPr>
          <w:sz w:val="28"/>
          <w:szCs w:val="28"/>
        </w:rPr>
        <w:t xml:space="preserve">Analysis of Guiding </w:t>
      </w:r>
      <w:r>
        <w:rPr>
          <w:rFonts w:hint="eastAsia"/>
          <w:sz w:val="28"/>
          <w:szCs w:val="28"/>
        </w:rPr>
        <w:t>T</w:t>
      </w:r>
      <w:r w:rsidR="00E6608B" w:rsidRPr="000F7ED8">
        <w:rPr>
          <w:sz w:val="28"/>
          <w:szCs w:val="28"/>
        </w:rPr>
        <w:t xml:space="preserve">rade </w:t>
      </w:r>
      <w:r>
        <w:rPr>
          <w:rFonts w:hint="eastAsia"/>
          <w:sz w:val="28"/>
          <w:szCs w:val="28"/>
        </w:rPr>
        <w:t>S</w:t>
      </w:r>
      <w:r w:rsidR="00E6608B" w:rsidRPr="000F7ED8">
        <w:rPr>
          <w:sz w:val="28"/>
          <w:szCs w:val="28"/>
        </w:rPr>
        <w:t>ecret</w:t>
      </w:r>
      <w:r>
        <w:rPr>
          <w:sz w:val="28"/>
          <w:szCs w:val="28"/>
        </w:rPr>
        <w:t xml:space="preserve"> </w:t>
      </w:r>
      <w:r>
        <w:rPr>
          <w:rFonts w:hint="eastAsia"/>
          <w:sz w:val="28"/>
          <w:szCs w:val="28"/>
        </w:rPr>
        <w:t>Cases</w:t>
      </w:r>
      <w:r>
        <w:rPr>
          <w:sz w:val="28"/>
          <w:szCs w:val="28"/>
        </w:rPr>
        <w:t xml:space="preserve"> in </w:t>
      </w:r>
      <w:r>
        <w:rPr>
          <w:rFonts w:hint="eastAsia"/>
          <w:sz w:val="28"/>
          <w:szCs w:val="28"/>
        </w:rPr>
        <w:t>China</w:t>
      </w:r>
      <w:r>
        <w:rPr>
          <w:sz w:val="28"/>
          <w:szCs w:val="28"/>
        </w:rPr>
        <w:t xml:space="preserve"> </w:t>
      </w:r>
      <w:r>
        <w:rPr>
          <w:rFonts w:hint="eastAsia"/>
          <w:sz w:val="28"/>
          <w:szCs w:val="28"/>
        </w:rPr>
        <w:t>Published</w:t>
      </w:r>
      <w:r>
        <w:rPr>
          <w:sz w:val="28"/>
          <w:szCs w:val="28"/>
        </w:rPr>
        <w:t xml:space="preserve"> </w:t>
      </w:r>
      <w:r>
        <w:rPr>
          <w:rFonts w:hint="eastAsia"/>
          <w:sz w:val="28"/>
          <w:szCs w:val="28"/>
        </w:rPr>
        <w:t>d</w:t>
      </w:r>
      <w:r>
        <w:rPr>
          <w:sz w:val="28"/>
          <w:szCs w:val="28"/>
        </w:rPr>
        <w:t>uring the World IP Day in 2020</w:t>
      </w:r>
    </w:p>
    <w:p w14:paraId="35C1CF18" w14:textId="6BDA0471" w:rsidR="00E6608B" w:rsidRPr="000F7ED8" w:rsidRDefault="00E6608B" w:rsidP="00E6608B">
      <w:pPr>
        <w:pStyle w:val="afe"/>
        <w:spacing w:beforeLines="0" w:before="0" w:afterLines="0" w:after="0"/>
        <w:rPr>
          <w:b w:val="0"/>
          <w:bCs/>
          <w:sz w:val="20"/>
          <w:szCs w:val="20"/>
        </w:rPr>
      </w:pPr>
      <w:r w:rsidRPr="000F7ED8">
        <w:rPr>
          <w:b w:val="0"/>
          <w:bCs/>
          <w:sz w:val="20"/>
          <w:szCs w:val="20"/>
        </w:rPr>
        <w:t>Jerry XIA, Yulu WANG</w:t>
      </w:r>
    </w:p>
    <w:p w14:paraId="7AECF2E9" w14:textId="6F0D4AA4" w:rsidR="00AE7CA8" w:rsidRPr="000F7ED8" w:rsidRDefault="00E6608B" w:rsidP="00E6608B">
      <w:pPr>
        <w:pStyle w:val="afe"/>
        <w:spacing w:beforeLines="0" w:before="0" w:afterLines="0" w:after="0"/>
        <w:rPr>
          <w:b w:val="0"/>
          <w:bCs/>
          <w:sz w:val="20"/>
          <w:szCs w:val="20"/>
        </w:rPr>
      </w:pPr>
      <w:r w:rsidRPr="000F7ED8">
        <w:rPr>
          <w:b w:val="0"/>
          <w:bCs/>
          <w:sz w:val="20"/>
          <w:szCs w:val="20"/>
        </w:rPr>
        <w:t xml:space="preserve">(Anjie </w:t>
      </w:r>
      <w:r w:rsidR="00921132">
        <w:rPr>
          <w:b w:val="0"/>
          <w:bCs/>
          <w:sz w:val="20"/>
          <w:szCs w:val="20"/>
        </w:rPr>
        <w:t>Law Firm</w:t>
      </w:r>
      <w:r w:rsidRPr="000F7ED8">
        <w:rPr>
          <w:b w:val="0"/>
          <w:bCs/>
          <w:sz w:val="20"/>
          <w:szCs w:val="20"/>
        </w:rPr>
        <w:t>)</w:t>
      </w:r>
    </w:p>
    <w:p w14:paraId="741DC119" w14:textId="1550BF6F" w:rsidR="004E229E" w:rsidRPr="000F7ED8" w:rsidRDefault="004E229E" w:rsidP="00E6608B">
      <w:pPr>
        <w:pStyle w:val="afe"/>
        <w:spacing w:beforeLines="0" w:before="0" w:afterLines="0" w:after="0"/>
        <w:rPr>
          <w:b w:val="0"/>
          <w:bCs/>
          <w:sz w:val="20"/>
          <w:szCs w:val="20"/>
        </w:rPr>
      </w:pPr>
    </w:p>
    <w:p w14:paraId="4C458BF7" w14:textId="54A9BFC4" w:rsidR="004E229E" w:rsidRPr="000F7ED8" w:rsidRDefault="004E229E" w:rsidP="004E229E">
      <w:pPr>
        <w:pStyle w:val="aff"/>
        <w:spacing w:beforeLines="100" w:before="312" w:afterLines="100" w:after="312"/>
        <w:rPr>
          <w:bCs/>
          <w:sz w:val="22"/>
          <w:szCs w:val="22"/>
        </w:rPr>
      </w:pPr>
      <w:bookmarkStart w:id="0" w:name="_Hlk530150416"/>
      <w:r w:rsidRPr="000F7ED8">
        <w:rPr>
          <w:bCs/>
          <w:sz w:val="22"/>
          <w:szCs w:val="22"/>
        </w:rPr>
        <w:t>The autho</w:t>
      </w:r>
      <w:r w:rsidR="00921132">
        <w:rPr>
          <w:bCs/>
          <w:sz w:val="22"/>
          <w:szCs w:val="22"/>
        </w:rPr>
        <w:t>rs have</w:t>
      </w:r>
      <w:r w:rsidRPr="000F7ED8">
        <w:rPr>
          <w:bCs/>
          <w:sz w:val="22"/>
          <w:szCs w:val="22"/>
        </w:rPr>
        <w:t xml:space="preserve"> combed through </w:t>
      </w:r>
      <w:r w:rsidR="00921132">
        <w:rPr>
          <w:bCs/>
          <w:sz w:val="22"/>
          <w:szCs w:val="22"/>
        </w:rPr>
        <w:t>over 600</w:t>
      </w:r>
      <w:r w:rsidRPr="000F7ED8">
        <w:rPr>
          <w:bCs/>
          <w:sz w:val="22"/>
          <w:szCs w:val="22"/>
        </w:rPr>
        <w:t xml:space="preserve"> </w:t>
      </w:r>
      <w:r w:rsidR="00921132">
        <w:rPr>
          <w:bCs/>
          <w:sz w:val="22"/>
          <w:szCs w:val="22"/>
        </w:rPr>
        <w:t>“model” IP</w:t>
      </w:r>
      <w:r w:rsidRPr="000F7ED8">
        <w:rPr>
          <w:bCs/>
          <w:sz w:val="22"/>
          <w:szCs w:val="22"/>
        </w:rPr>
        <w:t xml:space="preserve"> cases announced by </w:t>
      </w:r>
      <w:r w:rsidR="00921132">
        <w:rPr>
          <w:bCs/>
          <w:sz w:val="22"/>
          <w:szCs w:val="22"/>
        </w:rPr>
        <w:t xml:space="preserve">Chinese </w:t>
      </w:r>
      <w:r w:rsidRPr="000F7ED8">
        <w:rPr>
          <w:bCs/>
          <w:sz w:val="22"/>
          <w:szCs w:val="22"/>
        </w:rPr>
        <w:t xml:space="preserve">courts, prosecutors and market surveillance authorities </w:t>
      </w:r>
      <w:r w:rsidR="00921132">
        <w:rPr>
          <w:bCs/>
          <w:sz w:val="22"/>
          <w:szCs w:val="22"/>
        </w:rPr>
        <w:t xml:space="preserve">at different levels </w:t>
      </w:r>
      <w:r w:rsidRPr="000F7ED8">
        <w:rPr>
          <w:bCs/>
          <w:sz w:val="22"/>
          <w:szCs w:val="22"/>
        </w:rPr>
        <w:t>during the 4</w:t>
      </w:r>
      <w:r w:rsidR="00921132">
        <w:rPr>
          <w:bCs/>
          <w:sz w:val="22"/>
          <w:szCs w:val="22"/>
        </w:rPr>
        <w:t>.</w:t>
      </w:r>
      <w:r w:rsidRPr="000F7ED8">
        <w:rPr>
          <w:bCs/>
          <w:sz w:val="22"/>
          <w:szCs w:val="22"/>
        </w:rPr>
        <w:t xml:space="preserve">26 </w:t>
      </w:r>
      <w:r w:rsidR="00921132">
        <w:rPr>
          <w:bCs/>
          <w:sz w:val="22"/>
          <w:szCs w:val="22"/>
        </w:rPr>
        <w:t xml:space="preserve">World IP Day </w:t>
      </w:r>
      <w:r w:rsidRPr="000F7ED8">
        <w:rPr>
          <w:bCs/>
          <w:sz w:val="22"/>
          <w:szCs w:val="22"/>
        </w:rPr>
        <w:t xml:space="preserve">period </w:t>
      </w:r>
      <w:r w:rsidR="00921132">
        <w:rPr>
          <w:bCs/>
          <w:sz w:val="22"/>
          <w:szCs w:val="22"/>
        </w:rPr>
        <w:t xml:space="preserve">in 2020, and identified a total of 47 </w:t>
      </w:r>
      <w:r w:rsidRPr="000F7ED8">
        <w:rPr>
          <w:bCs/>
          <w:sz w:val="22"/>
          <w:szCs w:val="22"/>
        </w:rPr>
        <w:t xml:space="preserve">trade secret cases. </w:t>
      </w:r>
      <w:r w:rsidR="00921132">
        <w:rPr>
          <w:bCs/>
          <w:sz w:val="22"/>
          <w:szCs w:val="22"/>
        </w:rPr>
        <w:t>We provide a statistical analysis of these trade secret cases in order to assess the latest development of Chinese law and practice in this area</w:t>
      </w:r>
      <w:r w:rsidRPr="000F7ED8">
        <w:rPr>
          <w:bCs/>
          <w:sz w:val="22"/>
          <w:szCs w:val="22"/>
        </w:rPr>
        <w:t xml:space="preserve">.  </w:t>
      </w:r>
    </w:p>
    <w:bookmarkEnd w:id="0"/>
    <w:p w14:paraId="15FA55AF" w14:textId="3FB5C9C8" w:rsidR="005B7905" w:rsidRPr="000F7ED8" w:rsidRDefault="005B7905" w:rsidP="005B7905">
      <w:pPr>
        <w:pStyle w:val="aff"/>
        <w:numPr>
          <w:ilvl w:val="0"/>
          <w:numId w:val="23"/>
        </w:numPr>
        <w:spacing w:beforeLines="100" w:before="312" w:beforeAutospacing="0" w:afterLines="100" w:after="312" w:afterAutospacing="0"/>
        <w:rPr>
          <w:b/>
          <w:iCs/>
          <w:sz w:val="24"/>
          <w:szCs w:val="24"/>
        </w:rPr>
      </w:pPr>
      <w:r w:rsidRPr="000F7ED8">
        <w:rPr>
          <w:b/>
          <w:iCs/>
          <w:sz w:val="24"/>
          <w:szCs w:val="24"/>
        </w:rPr>
        <w:t>Data analysis of typical trade secret cases</w:t>
      </w:r>
    </w:p>
    <w:p w14:paraId="32EDB3E7" w14:textId="4E050180" w:rsidR="00C76E73" w:rsidRPr="000F7ED8" w:rsidRDefault="00C76E73" w:rsidP="00C76E73">
      <w:pPr>
        <w:pStyle w:val="aff"/>
        <w:spacing w:beforeLines="100" w:before="312" w:afterLines="100" w:after="312"/>
        <w:rPr>
          <w:bCs/>
          <w:sz w:val="22"/>
          <w:szCs w:val="22"/>
        </w:rPr>
      </w:pPr>
      <w:r w:rsidRPr="000F7ED8">
        <w:rPr>
          <w:bCs/>
          <w:sz w:val="22"/>
          <w:szCs w:val="22"/>
        </w:rPr>
        <w:t>The Beijing Higher People's Court, in its Report on the Judicial Trial of Commercial Secrets after the Revision of the Anti-Unfair Competition Law, mentioned that</w:t>
      </w:r>
      <w:r w:rsidR="00A56B96" w:rsidRPr="000F7ED8">
        <w:rPr>
          <w:bCs/>
          <w:sz w:val="22"/>
          <w:szCs w:val="22"/>
        </w:rPr>
        <w:t>: f</w:t>
      </w:r>
      <w:r w:rsidRPr="000F7ED8">
        <w:rPr>
          <w:bCs/>
          <w:sz w:val="22"/>
          <w:szCs w:val="22"/>
        </w:rPr>
        <w:t xml:space="preserve">rom 2013 to 2017, a total of 338 cases of unfair competition involving trade secrets were concluded by judgement in our courts. There were only 38 cases in 2013, the lowest number of cases, and only 88 cases in 2016, the highest number of cases; </w:t>
      </w:r>
      <w:r w:rsidR="003E3738" w:rsidRPr="000F7ED8">
        <w:rPr>
          <w:bCs/>
          <w:sz w:val="22"/>
          <w:szCs w:val="22"/>
        </w:rPr>
        <w:t>meanwhile, the number of cases in which trade secrets claimed by the plaintiffs were granted judicial protection was 113, only 35 percent of all cases, far fewer than the number of unprotected cases.</w:t>
      </w:r>
      <w:r w:rsidRPr="000F7ED8">
        <w:rPr>
          <w:bCs/>
          <w:sz w:val="22"/>
          <w:szCs w:val="22"/>
        </w:rPr>
        <w:t xml:space="preserve">; another 140 of the 210 non-judicial protection cases resulted from the court finding that the trade secrets claimed by the plaintiff </w:t>
      </w:r>
      <w:r w:rsidR="008B440E" w:rsidRPr="000F7ED8">
        <w:rPr>
          <w:bCs/>
          <w:sz w:val="22"/>
          <w:szCs w:val="22"/>
        </w:rPr>
        <w:t>d</w:t>
      </w:r>
      <w:r w:rsidRPr="000F7ED8">
        <w:rPr>
          <w:bCs/>
          <w:sz w:val="22"/>
          <w:szCs w:val="22"/>
        </w:rPr>
        <w:t>oes not constitute a trade secret, accounting for 66.7%.</w:t>
      </w:r>
      <w:r w:rsidR="008B440E" w:rsidRPr="000F7ED8">
        <w:rPr>
          <w:rStyle w:val="af3"/>
          <w:bCs/>
          <w:sz w:val="22"/>
          <w:szCs w:val="22"/>
        </w:rPr>
        <w:footnoteReference w:id="1"/>
      </w:r>
      <w:r w:rsidRPr="000F7ED8">
        <w:rPr>
          <w:bCs/>
          <w:sz w:val="22"/>
          <w:szCs w:val="22"/>
        </w:rPr>
        <w:t xml:space="preserve"> Thus, China's trade secret protection from the whole is still relatively weak, the proportion of infringement to seek civil remedies also not high, which may be related to China's previous trade secret recognition of vague boundaries, the difficulty of proof for rights holders, and the ease of considering the prosecution after the </w:t>
      </w:r>
      <w:r w:rsidR="008B440E" w:rsidRPr="000F7ED8">
        <w:rPr>
          <w:bCs/>
          <w:sz w:val="22"/>
          <w:szCs w:val="22"/>
        </w:rPr>
        <w:t>s</w:t>
      </w:r>
      <w:r w:rsidRPr="000F7ED8">
        <w:rPr>
          <w:bCs/>
          <w:sz w:val="22"/>
          <w:szCs w:val="22"/>
        </w:rPr>
        <w:t>econd leaks and other issues related. To this end, in April 2019, the National People's Congress (NPC) undertook a focused revision of the trade secret provisions of the Anti-Unfair Competition Law.</w:t>
      </w:r>
      <w:r w:rsidR="008B440E" w:rsidRPr="000F7ED8">
        <w:rPr>
          <w:rStyle w:val="af3"/>
          <w:bCs/>
          <w:sz w:val="22"/>
          <w:szCs w:val="22"/>
        </w:rPr>
        <w:footnoteReference w:id="2"/>
      </w:r>
    </w:p>
    <w:p w14:paraId="3B95BEE7" w14:textId="3D199772" w:rsidR="00C76E73" w:rsidRPr="000F7ED8" w:rsidRDefault="00C76E73" w:rsidP="00C76E73">
      <w:pPr>
        <w:pStyle w:val="aff"/>
        <w:spacing w:beforeLines="100" w:before="312" w:beforeAutospacing="0" w:afterLines="100" w:after="312" w:afterAutospacing="0"/>
        <w:rPr>
          <w:bCs/>
          <w:sz w:val="22"/>
          <w:szCs w:val="22"/>
        </w:rPr>
      </w:pPr>
      <w:r w:rsidRPr="000F7ED8">
        <w:rPr>
          <w:bCs/>
          <w:sz w:val="22"/>
          <w:szCs w:val="22"/>
        </w:rPr>
        <w:t>The cases included in this statistics are mainly trade secret cases tried in 2019, including civil and criminal as well as some administrative cases under the responsibility of the Market Supervision Administration, which in general reflect the judicial status of trade secret protection in China after the revision of the new anti-law, and from the collated data, mainly present the following features.</w:t>
      </w:r>
    </w:p>
    <w:p w14:paraId="512CAE8C" w14:textId="162B78D5" w:rsidR="00C76E73" w:rsidRPr="000F7ED8" w:rsidRDefault="00C76E73" w:rsidP="00C76E73">
      <w:pPr>
        <w:pStyle w:val="aff"/>
        <w:spacing w:beforeLines="100" w:before="312" w:afterLines="100" w:after="312"/>
        <w:rPr>
          <w:b/>
          <w:sz w:val="22"/>
          <w:szCs w:val="22"/>
        </w:rPr>
      </w:pPr>
      <w:r w:rsidRPr="000F7ED8">
        <w:rPr>
          <w:b/>
          <w:sz w:val="22"/>
          <w:szCs w:val="22"/>
        </w:rPr>
        <w:t>(i) The number of investigable cases is still relatively low and the number of civil and criminal cases is comparable.</w:t>
      </w:r>
    </w:p>
    <w:p w14:paraId="1BDC7054" w14:textId="1D6B5A6A" w:rsidR="00C76E73" w:rsidRPr="000F7ED8" w:rsidRDefault="00C76E73" w:rsidP="00C76E73">
      <w:pPr>
        <w:pStyle w:val="aff"/>
        <w:spacing w:beforeLines="100" w:before="312" w:beforeAutospacing="0" w:afterLines="100" w:after="312" w:afterAutospacing="0"/>
        <w:rPr>
          <w:bCs/>
          <w:sz w:val="22"/>
          <w:szCs w:val="22"/>
        </w:rPr>
      </w:pPr>
      <w:r w:rsidRPr="000F7ED8">
        <w:rPr>
          <w:bCs/>
          <w:sz w:val="22"/>
          <w:szCs w:val="22"/>
        </w:rPr>
        <w:t>Of the more than 600 typical cases published in 2020, there were only 47 cases of trade secrets, accounting for less than 7.8%. Of these, 23 were civil cases, 16 were criminal cases, and 8 were administrative protection cases, with slightly more civil cases than criminal cases. The overall picture is similar (see Figure 1).</w:t>
      </w:r>
    </w:p>
    <w:p w14:paraId="3A7865CE" w14:textId="77777777" w:rsidR="008B440E" w:rsidRPr="000F7ED8" w:rsidRDefault="008B440E" w:rsidP="00C76E73">
      <w:pPr>
        <w:pStyle w:val="aff"/>
        <w:spacing w:beforeLines="100" w:before="312" w:beforeAutospacing="0" w:afterLines="100" w:after="312" w:afterAutospacing="0"/>
        <w:rPr>
          <w:bCs/>
          <w:sz w:val="22"/>
          <w:szCs w:val="22"/>
        </w:rPr>
      </w:pPr>
    </w:p>
    <w:p w14:paraId="11507BC3" w14:textId="4647BBDE" w:rsidR="008B440E" w:rsidRPr="000F7ED8" w:rsidRDefault="008B440E" w:rsidP="00C76E73">
      <w:pPr>
        <w:spacing w:beforeLines="100" w:before="312" w:afterLines="100" w:after="312" w:line="240" w:lineRule="exact"/>
        <w:rPr>
          <w:rFonts w:ascii="Times New Roman" w:hAnsi="Times New Roman"/>
          <w:b/>
          <w:sz w:val="22"/>
        </w:rPr>
      </w:pPr>
      <w:r w:rsidRPr="000F7ED8">
        <w:rPr>
          <w:rFonts w:ascii="Times New Roman" w:hAnsi="Times New Roman"/>
          <w:noProof/>
        </w:rPr>
        <w:lastRenderedPageBreak/>
        <w:drawing>
          <wp:anchor distT="0" distB="0" distL="114300" distR="114300" simplePos="0" relativeHeight="251663360" behindDoc="0" locked="0" layoutInCell="1" allowOverlap="1" wp14:anchorId="7A9D352B" wp14:editId="23A0F5D6">
            <wp:simplePos x="0" y="0"/>
            <wp:positionH relativeFrom="column">
              <wp:posOffset>859155</wp:posOffset>
            </wp:positionH>
            <wp:positionV relativeFrom="paragraph">
              <wp:posOffset>36195</wp:posOffset>
            </wp:positionV>
            <wp:extent cx="4083050" cy="2797175"/>
            <wp:effectExtent l="0" t="0" r="12700" b="3175"/>
            <wp:wrapTopAndBottom/>
            <wp:docPr id="1" name="图表 1">
              <a:extLst xmlns:a="http://schemas.openxmlformats.org/drawingml/2006/main">
                <a:ext uri="{FF2B5EF4-FFF2-40B4-BE49-F238E27FC236}">
                  <a16:creationId xmlns:a16="http://schemas.microsoft.com/office/drawing/2014/main" id="{C97661BC-BD0A-4713-B2FE-4CE92AC1CF7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margin">
              <wp14:pctWidth>0</wp14:pctWidth>
            </wp14:sizeRelH>
            <wp14:sizeRelV relativeFrom="margin">
              <wp14:pctHeight>0</wp14:pctHeight>
            </wp14:sizeRelV>
          </wp:anchor>
        </w:drawing>
      </w:r>
    </w:p>
    <w:p w14:paraId="376A2671" w14:textId="515EE9AD" w:rsidR="00C76E73" w:rsidRPr="000F7ED8" w:rsidRDefault="00C76E73" w:rsidP="00C76E73">
      <w:pPr>
        <w:spacing w:beforeLines="100" w:before="312" w:afterLines="100" w:after="312" w:line="240" w:lineRule="exact"/>
        <w:rPr>
          <w:rFonts w:ascii="Times New Roman" w:hAnsi="Times New Roman"/>
          <w:b/>
          <w:sz w:val="22"/>
        </w:rPr>
      </w:pPr>
      <w:r w:rsidRPr="000F7ED8">
        <w:rPr>
          <w:rFonts w:ascii="Times New Roman" w:hAnsi="Times New Roman"/>
          <w:b/>
          <w:sz w:val="22"/>
        </w:rPr>
        <w:t>(ii) The success rate of typical cases is relatively impressive</w:t>
      </w:r>
    </w:p>
    <w:p w14:paraId="7E517C96" w14:textId="19CAB02F" w:rsidR="00C76E73" w:rsidRPr="000F7ED8" w:rsidRDefault="00C76E73" w:rsidP="00C76E73">
      <w:pPr>
        <w:spacing w:beforeLines="100" w:before="312" w:afterLines="100" w:after="312" w:line="240" w:lineRule="exact"/>
        <w:rPr>
          <w:rFonts w:ascii="Times New Roman" w:hAnsi="Times New Roman"/>
          <w:bCs/>
          <w:sz w:val="22"/>
        </w:rPr>
      </w:pPr>
      <w:r w:rsidRPr="000F7ED8">
        <w:rPr>
          <w:rFonts w:ascii="Times New Roman" w:hAnsi="Times New Roman"/>
          <w:bCs/>
          <w:sz w:val="22"/>
        </w:rPr>
        <w:t>Of the 23 typical civil cases, 13 were found by the courts to constitute infringement, 8 were dismissed, and 2 were dismissed as either withdrawn or dismissed. Of the 16 typical criminal cases, 15 resulted in convictions that constituted crimes.</w:t>
      </w:r>
      <w:r w:rsidR="00FB24CE" w:rsidRPr="000F7ED8">
        <w:rPr>
          <w:rFonts w:ascii="Times New Roman" w:hAnsi="Times New Roman"/>
          <w:bCs/>
          <w:sz w:val="22"/>
        </w:rPr>
        <w:t xml:space="preserve"> </w:t>
      </w:r>
    </w:p>
    <w:p w14:paraId="172587E5" w14:textId="3B0B3C86" w:rsidR="00C76E73" w:rsidRPr="000F7ED8" w:rsidRDefault="00C76E73" w:rsidP="00C76E73">
      <w:pPr>
        <w:spacing w:beforeLines="100" w:before="312" w:afterLines="100" w:after="312" w:line="240" w:lineRule="exact"/>
        <w:rPr>
          <w:rFonts w:ascii="Times New Roman" w:hAnsi="Times New Roman"/>
          <w:b/>
          <w:sz w:val="22"/>
        </w:rPr>
      </w:pPr>
      <w:r w:rsidRPr="000F7ED8">
        <w:rPr>
          <w:rFonts w:ascii="Times New Roman" w:hAnsi="Times New Roman"/>
          <w:b/>
          <w:sz w:val="22"/>
        </w:rPr>
        <w:t>(iii) An equal number of typical cases involving technological secrets and business information secrets</w:t>
      </w:r>
    </w:p>
    <w:p w14:paraId="15DB2A58" w14:textId="48FF0638" w:rsidR="00C76E73" w:rsidRPr="000F7ED8" w:rsidRDefault="00630F7A" w:rsidP="00C76E73">
      <w:pPr>
        <w:spacing w:beforeLines="100" w:before="312" w:afterLines="100" w:after="312" w:line="240" w:lineRule="exact"/>
        <w:rPr>
          <w:rFonts w:ascii="Times New Roman" w:hAnsi="Times New Roman"/>
          <w:bCs/>
          <w:sz w:val="22"/>
        </w:rPr>
      </w:pPr>
      <w:r w:rsidRPr="000F7ED8">
        <w:rPr>
          <w:rFonts w:ascii="Times New Roman" w:hAnsi="Times New Roman"/>
          <w:noProof/>
        </w:rPr>
        <w:drawing>
          <wp:anchor distT="0" distB="0" distL="114300" distR="114300" simplePos="0" relativeHeight="251664384" behindDoc="0" locked="0" layoutInCell="1" allowOverlap="1" wp14:anchorId="464832D9" wp14:editId="7B2BF6DF">
            <wp:simplePos x="0" y="0"/>
            <wp:positionH relativeFrom="column">
              <wp:posOffset>696777</wp:posOffset>
            </wp:positionH>
            <wp:positionV relativeFrom="paragraph">
              <wp:posOffset>627380</wp:posOffset>
            </wp:positionV>
            <wp:extent cx="4245610" cy="3014345"/>
            <wp:effectExtent l="0" t="0" r="2540" b="14605"/>
            <wp:wrapTopAndBottom/>
            <wp:docPr id="2" name="图表 2">
              <a:extLst xmlns:a="http://schemas.openxmlformats.org/drawingml/2006/main">
                <a:ext uri="{FF2B5EF4-FFF2-40B4-BE49-F238E27FC236}">
                  <a16:creationId xmlns:a16="http://schemas.microsoft.com/office/drawing/2014/main" id="{CAFACD9E-4A17-4638-817C-D253263EB66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r w:rsidR="00C76E73" w:rsidRPr="000F7ED8">
        <w:rPr>
          <w:rFonts w:ascii="Times New Roman" w:hAnsi="Times New Roman"/>
          <w:bCs/>
          <w:sz w:val="22"/>
        </w:rPr>
        <w:t>Among the 47 typical cases, 26 cases involved technical information and 25 cases involved business information, including one case in which the material of an unreleased movie was illegally disclosed by a post-production company and was eventually recognized as a trade secret.</w:t>
      </w:r>
      <w:r w:rsidR="000101B7" w:rsidRPr="000F7ED8">
        <w:rPr>
          <w:rStyle w:val="af3"/>
          <w:rFonts w:ascii="Times New Roman" w:hAnsi="Times New Roman"/>
          <w:bCs/>
          <w:sz w:val="22"/>
        </w:rPr>
        <w:footnoteReference w:id="3"/>
      </w:r>
      <w:r w:rsidR="000101B7" w:rsidRPr="000F7ED8">
        <w:rPr>
          <w:rFonts w:ascii="Times New Roman" w:hAnsi="Times New Roman"/>
          <w:bCs/>
          <w:sz w:val="22"/>
        </w:rPr>
        <w:t xml:space="preserve"> There are four typical </w:t>
      </w:r>
      <w:r w:rsidR="000101B7" w:rsidRPr="000F7ED8">
        <w:rPr>
          <w:rFonts w:ascii="Times New Roman" w:hAnsi="Times New Roman"/>
          <w:bCs/>
          <w:sz w:val="22"/>
        </w:rPr>
        <w:lastRenderedPageBreak/>
        <w:t>cases involving both technology secrets and business information secrets, as shown in Figure 2 below.</w:t>
      </w:r>
    </w:p>
    <w:p w14:paraId="6BC2AA1F" w14:textId="1342E247" w:rsidR="00C76E73" w:rsidRPr="000F7ED8" w:rsidRDefault="00C76E73" w:rsidP="00C76E73">
      <w:pPr>
        <w:spacing w:beforeLines="100" w:before="312" w:afterLines="100" w:after="312" w:line="240" w:lineRule="exact"/>
        <w:rPr>
          <w:rFonts w:ascii="Times New Roman" w:hAnsi="Times New Roman"/>
          <w:b/>
          <w:sz w:val="22"/>
        </w:rPr>
      </w:pPr>
      <w:r w:rsidRPr="000F7ED8">
        <w:rPr>
          <w:rFonts w:ascii="Times New Roman" w:hAnsi="Times New Roman"/>
          <w:b/>
          <w:sz w:val="22"/>
        </w:rPr>
        <w:t>(IV) Materials</w:t>
      </w:r>
      <w:r w:rsidR="00C3638E" w:rsidRPr="000F7ED8">
        <w:rPr>
          <w:rFonts w:ascii="Times New Roman" w:hAnsi="Times New Roman"/>
          <w:b/>
          <w:sz w:val="22"/>
        </w:rPr>
        <w:t xml:space="preserve"> &amp; C</w:t>
      </w:r>
      <w:r w:rsidRPr="000F7ED8">
        <w:rPr>
          <w:rFonts w:ascii="Times New Roman" w:hAnsi="Times New Roman"/>
          <w:b/>
          <w:sz w:val="22"/>
        </w:rPr>
        <w:t xml:space="preserve">hemicals, </w:t>
      </w:r>
      <w:r w:rsidR="00C3638E" w:rsidRPr="000F7ED8">
        <w:rPr>
          <w:rFonts w:ascii="Times New Roman" w:hAnsi="Times New Roman"/>
          <w:b/>
          <w:sz w:val="22"/>
        </w:rPr>
        <w:t>M</w:t>
      </w:r>
      <w:r w:rsidRPr="000F7ED8">
        <w:rPr>
          <w:rFonts w:ascii="Times New Roman" w:hAnsi="Times New Roman"/>
          <w:b/>
          <w:sz w:val="22"/>
        </w:rPr>
        <w:t>achinery and IT industries with a high incidence of trade secret cases</w:t>
      </w:r>
    </w:p>
    <w:p w14:paraId="260565AB" w14:textId="6AB899E7" w:rsidR="00C76E73" w:rsidRPr="000F7ED8" w:rsidRDefault="009D2184" w:rsidP="00C76E73">
      <w:pPr>
        <w:spacing w:beforeLines="100" w:before="312" w:afterLines="100" w:after="312" w:line="240" w:lineRule="exact"/>
        <w:rPr>
          <w:rFonts w:ascii="Times New Roman" w:hAnsi="Times New Roman"/>
          <w:bCs/>
          <w:sz w:val="22"/>
        </w:rPr>
      </w:pPr>
      <w:r w:rsidRPr="000F7ED8">
        <w:rPr>
          <w:rFonts w:ascii="Times New Roman" w:hAnsi="Times New Roman"/>
          <w:noProof/>
        </w:rPr>
        <w:drawing>
          <wp:anchor distT="0" distB="0" distL="114300" distR="114300" simplePos="0" relativeHeight="251665408" behindDoc="0" locked="0" layoutInCell="1" allowOverlap="1" wp14:anchorId="0BD60D32" wp14:editId="62513226">
            <wp:simplePos x="0" y="0"/>
            <wp:positionH relativeFrom="column">
              <wp:posOffset>-1905</wp:posOffset>
            </wp:positionH>
            <wp:positionV relativeFrom="paragraph">
              <wp:posOffset>2001129</wp:posOffset>
            </wp:positionV>
            <wp:extent cx="5627370" cy="3318510"/>
            <wp:effectExtent l="0" t="0" r="11430" b="15240"/>
            <wp:wrapTopAndBottom/>
            <wp:docPr id="8" name="图表 8">
              <a:extLst xmlns:a="http://schemas.openxmlformats.org/drawingml/2006/main">
                <a:ext uri="{FF2B5EF4-FFF2-40B4-BE49-F238E27FC236}">
                  <a16:creationId xmlns:a16="http://schemas.microsoft.com/office/drawing/2014/main" id="{BA8B1FAC-37A7-4957-916B-59C499B3A40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00C76E73" w:rsidRPr="000F7ED8">
        <w:rPr>
          <w:rFonts w:ascii="Times New Roman" w:hAnsi="Times New Roman"/>
          <w:bCs/>
          <w:sz w:val="22"/>
        </w:rPr>
        <w:t>As shown in Figure 3, the top three industries involved in the 47 typical cases are materials and chemicals (13 cases), machinery</w:t>
      </w:r>
      <w:r w:rsidR="00E4157C">
        <w:rPr>
          <w:rFonts w:ascii="Times New Roman" w:hAnsi="Times New Roman"/>
          <w:bCs/>
          <w:sz w:val="22"/>
        </w:rPr>
        <w:t xml:space="preserve"> </w:t>
      </w:r>
      <w:r w:rsidR="00C76E73" w:rsidRPr="000F7ED8">
        <w:rPr>
          <w:rFonts w:ascii="Times New Roman" w:hAnsi="Times New Roman"/>
          <w:bCs/>
          <w:sz w:val="22"/>
        </w:rPr>
        <w:t xml:space="preserve">(10 pieces) and IT (7 pieces). These three sectors also happen to be the more active and competitive sectors of the market today, with high employee turnover, technology intensive Relatively potential trade secret risks are naturally higher as well. In addition, other areas of interest include: life sciences and biotechnology (3), </w:t>
      </w:r>
      <w:bookmarkStart w:id="1" w:name="OLE_LINK2"/>
      <w:bookmarkStart w:id="2" w:name="OLE_LINK3"/>
      <w:r w:rsidR="00C76E73" w:rsidRPr="000F7ED8">
        <w:rPr>
          <w:rFonts w:ascii="Times New Roman" w:hAnsi="Times New Roman"/>
          <w:bCs/>
          <w:sz w:val="22"/>
        </w:rPr>
        <w:t>household goods</w:t>
      </w:r>
      <w:bookmarkEnd w:id="1"/>
      <w:bookmarkEnd w:id="2"/>
      <w:r w:rsidR="00C76E73" w:rsidRPr="000F7ED8">
        <w:rPr>
          <w:rFonts w:ascii="Times New Roman" w:hAnsi="Times New Roman"/>
          <w:bCs/>
          <w:sz w:val="22"/>
        </w:rPr>
        <w:t xml:space="preserve"> (3), education and training (2), intellectual property services (2), catering (2), trade (2), science and technology promotion and application (1)</w:t>
      </w:r>
      <w:r w:rsidR="00C3638E" w:rsidRPr="000F7ED8">
        <w:rPr>
          <w:rFonts w:ascii="Times New Roman" w:hAnsi="Times New Roman"/>
          <w:bCs/>
          <w:sz w:val="22"/>
        </w:rPr>
        <w:t xml:space="preserve">, </w:t>
      </w:r>
      <w:r w:rsidRPr="000F7ED8">
        <w:rPr>
          <w:rFonts w:ascii="Times New Roman" w:hAnsi="Times New Roman"/>
          <w:bCs/>
          <w:sz w:val="22"/>
        </w:rPr>
        <w:t>film &amp; entertainment</w:t>
      </w:r>
      <w:r w:rsidR="00C76E73" w:rsidRPr="000F7ED8">
        <w:rPr>
          <w:rFonts w:ascii="Times New Roman" w:hAnsi="Times New Roman"/>
          <w:bCs/>
          <w:sz w:val="22"/>
        </w:rPr>
        <w:t xml:space="preserve"> (1 case) and</w:t>
      </w:r>
      <w:bookmarkStart w:id="3" w:name="OLE_LINK4"/>
      <w:r w:rsidR="00C76E73" w:rsidRPr="000F7ED8">
        <w:rPr>
          <w:rFonts w:ascii="Times New Roman" w:hAnsi="Times New Roman"/>
          <w:bCs/>
          <w:sz w:val="22"/>
        </w:rPr>
        <w:t xml:space="preserve"> corporate consulting</w:t>
      </w:r>
      <w:bookmarkEnd w:id="3"/>
      <w:r w:rsidR="00C76E73" w:rsidRPr="000F7ED8">
        <w:rPr>
          <w:rFonts w:ascii="Times New Roman" w:hAnsi="Times New Roman"/>
          <w:bCs/>
          <w:sz w:val="22"/>
        </w:rPr>
        <w:t xml:space="preserve"> (1 case). Overall, the sporadic cases involving education and training, catering and other service industries involved trade secrets mainly in the form of business information secrets for the main, more often manifested as customer lists, while trade secret disputes in technology-type industries will be more focused on technical secrets, and of course It may also involve a small number of business information secrets or a combination of both.</w:t>
      </w:r>
      <w:r w:rsidR="00C3638E" w:rsidRPr="000F7ED8">
        <w:rPr>
          <w:rFonts w:ascii="Times New Roman" w:hAnsi="Times New Roman"/>
          <w:bCs/>
          <w:sz w:val="22"/>
        </w:rPr>
        <w:t xml:space="preserve"> </w:t>
      </w:r>
    </w:p>
    <w:p w14:paraId="381A1515" w14:textId="76607EFD" w:rsidR="00C76E73" w:rsidRPr="000F7ED8" w:rsidRDefault="00C76E73" w:rsidP="00C76E73">
      <w:pPr>
        <w:spacing w:beforeLines="100" w:before="312" w:afterLines="100" w:after="312" w:line="240" w:lineRule="exact"/>
        <w:rPr>
          <w:rFonts w:ascii="Times New Roman" w:hAnsi="Times New Roman"/>
          <w:bCs/>
          <w:sz w:val="22"/>
        </w:rPr>
      </w:pPr>
    </w:p>
    <w:p w14:paraId="47511DF3" w14:textId="476488EA" w:rsidR="00C76E73" w:rsidRPr="000F7ED8" w:rsidRDefault="00C76E73" w:rsidP="00C76E73">
      <w:pPr>
        <w:spacing w:beforeLines="100" w:before="312" w:afterLines="100" w:after="312" w:line="240" w:lineRule="exact"/>
        <w:rPr>
          <w:rFonts w:ascii="Times New Roman" w:hAnsi="Times New Roman"/>
          <w:b/>
          <w:sz w:val="22"/>
        </w:rPr>
      </w:pPr>
      <w:r w:rsidRPr="000F7ED8">
        <w:rPr>
          <w:rFonts w:ascii="Times New Roman" w:hAnsi="Times New Roman"/>
          <w:b/>
          <w:sz w:val="22"/>
        </w:rPr>
        <w:t>(v) Zhejiang, Guangdong, Shandong and other economically developed areas are the main battlegrounds for trade secret cases.</w:t>
      </w:r>
    </w:p>
    <w:p w14:paraId="0DF6C733" w14:textId="4471692C" w:rsidR="00C76E73" w:rsidRPr="000F7ED8" w:rsidRDefault="00C76E73" w:rsidP="00C76E73">
      <w:pPr>
        <w:spacing w:beforeLines="100" w:before="312" w:afterLines="100" w:after="312" w:line="240" w:lineRule="exact"/>
        <w:rPr>
          <w:rFonts w:ascii="Times New Roman" w:hAnsi="Times New Roman"/>
          <w:bCs/>
          <w:sz w:val="22"/>
        </w:rPr>
      </w:pPr>
      <w:r w:rsidRPr="000F7ED8">
        <w:rPr>
          <w:rFonts w:ascii="Times New Roman" w:hAnsi="Times New Roman"/>
          <w:bCs/>
          <w:sz w:val="22"/>
        </w:rPr>
        <w:t>Looking at the distribution of provinces (Figure 4), Zhejiang Province, Guangdong Province and Shandong Province have the most typical trade secret cases, respectively 10, 9 and 7 cases, slightly fewer in Beijing, Jiangsu and Shanghai, with 4, 2 and 2 cases respectively. It can be seen that trade secret disputes mainly occur in the more economically developed areas, which is consistent with the previous Beijing Higher People's Court research results</w:t>
      </w:r>
      <w:r w:rsidR="00225D2B" w:rsidRPr="000F7ED8">
        <w:rPr>
          <w:rFonts w:ascii="Times New Roman" w:hAnsi="Times New Roman"/>
          <w:bCs/>
          <w:sz w:val="22"/>
        </w:rPr>
        <w:t>.</w:t>
      </w:r>
      <w:r w:rsidRPr="000F7ED8">
        <w:rPr>
          <w:rFonts w:ascii="Times New Roman" w:hAnsi="Times New Roman"/>
          <w:bCs/>
          <w:sz w:val="22"/>
        </w:rPr>
        <w:t xml:space="preserve"> The Beijing Municipal High People's Court also pointed out in its report on the judicial trial of commercial secrets after the amendment of the Anti-Unfair Competition Law that "the judicial trial of commercial secrets involves Civil cases of trade secret infringement are mainly concentrated in economically developed regions, with the top five being Guangdong, Beijing, Shanghai, Zhejiang and Jiangsu",</w:t>
      </w:r>
      <w:r w:rsidR="00225D2B" w:rsidRPr="000F7ED8">
        <w:rPr>
          <w:rStyle w:val="af3"/>
          <w:rFonts w:ascii="Times New Roman" w:hAnsi="Times New Roman"/>
          <w:bCs/>
          <w:sz w:val="22"/>
        </w:rPr>
        <w:footnoteReference w:id="4"/>
      </w:r>
      <w:r w:rsidRPr="000F7ED8">
        <w:rPr>
          <w:rFonts w:ascii="Times New Roman" w:hAnsi="Times New Roman"/>
          <w:bCs/>
          <w:sz w:val="22"/>
        </w:rPr>
        <w:t xml:space="preserve"> mainly because of the more intense competition in economically developed areas, the industry is also more rapidly developing, </w:t>
      </w:r>
      <w:r w:rsidR="00C51662" w:rsidRPr="000F7ED8">
        <w:rPr>
          <w:rFonts w:ascii="Times New Roman" w:hAnsi="Times New Roman"/>
          <w:noProof/>
        </w:rPr>
        <w:lastRenderedPageBreak/>
        <w:drawing>
          <wp:anchor distT="0" distB="0" distL="114300" distR="114300" simplePos="0" relativeHeight="251666432" behindDoc="0" locked="0" layoutInCell="1" allowOverlap="1" wp14:anchorId="3C2714D4" wp14:editId="49A39FBF">
            <wp:simplePos x="0" y="0"/>
            <wp:positionH relativeFrom="column">
              <wp:posOffset>482649</wp:posOffset>
            </wp:positionH>
            <wp:positionV relativeFrom="paragraph">
              <wp:posOffset>370449</wp:posOffset>
            </wp:positionV>
            <wp:extent cx="4572000" cy="2743200"/>
            <wp:effectExtent l="0" t="0" r="0" b="0"/>
            <wp:wrapTopAndBottom/>
            <wp:docPr id="10" name="图表 10">
              <a:extLst xmlns:a="http://schemas.openxmlformats.org/drawingml/2006/main">
                <a:ext uri="{FF2B5EF4-FFF2-40B4-BE49-F238E27FC236}">
                  <a16:creationId xmlns:a16="http://schemas.microsoft.com/office/drawing/2014/main" id="{EF071073-D3C2-4686-A8A2-A24D904ECFF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sidRPr="000F7ED8">
        <w:rPr>
          <w:rFonts w:ascii="Times New Roman" w:hAnsi="Times New Roman"/>
          <w:bCs/>
          <w:sz w:val="22"/>
        </w:rPr>
        <w:t>trade secret disputes The probability of occurrence will be significantly higher than other regions.</w:t>
      </w:r>
    </w:p>
    <w:p w14:paraId="41C6B1EF" w14:textId="0F156FDF" w:rsidR="00225D2B" w:rsidRPr="000F7ED8" w:rsidRDefault="00225D2B" w:rsidP="00C76E73">
      <w:pPr>
        <w:spacing w:beforeLines="100" w:before="312" w:afterLines="100" w:after="312" w:line="240" w:lineRule="exact"/>
        <w:rPr>
          <w:rFonts w:ascii="Times New Roman" w:hAnsi="Times New Roman"/>
          <w:bCs/>
          <w:sz w:val="22"/>
        </w:rPr>
      </w:pPr>
    </w:p>
    <w:p w14:paraId="19B21212" w14:textId="0844397C" w:rsidR="00C76E73" w:rsidRPr="000F7ED8" w:rsidRDefault="00C76E73" w:rsidP="00C76E73">
      <w:pPr>
        <w:spacing w:beforeLines="100" w:before="312" w:afterLines="100" w:after="312" w:line="240" w:lineRule="exact"/>
        <w:rPr>
          <w:rFonts w:ascii="Times New Roman" w:hAnsi="Times New Roman"/>
          <w:bCs/>
          <w:sz w:val="22"/>
        </w:rPr>
      </w:pPr>
      <w:r w:rsidRPr="000F7ED8">
        <w:rPr>
          <w:rFonts w:ascii="Times New Roman" w:hAnsi="Times New Roman"/>
          <w:bCs/>
          <w:sz w:val="22"/>
        </w:rPr>
        <w:t>This time, Shandong Province has risen to the occasion, it is evident that in recent years, the protection of trade secrets in Shandong Province has increased significantly, Shandong courts also have the courage to innovate</w:t>
      </w:r>
      <w:r w:rsidR="00C51662" w:rsidRPr="000F7ED8">
        <w:rPr>
          <w:rFonts w:ascii="Times New Roman" w:hAnsi="Times New Roman"/>
          <w:bCs/>
          <w:sz w:val="22"/>
        </w:rPr>
        <w:t>,</w:t>
      </w:r>
      <w:r w:rsidRPr="000F7ED8">
        <w:rPr>
          <w:rFonts w:ascii="Times New Roman" w:hAnsi="Times New Roman"/>
          <w:bCs/>
          <w:sz w:val="22"/>
        </w:rPr>
        <w:t xml:space="preserve"> </w:t>
      </w:r>
      <w:r w:rsidR="00C51662" w:rsidRPr="000F7ED8">
        <w:rPr>
          <w:rFonts w:ascii="Times New Roman" w:hAnsi="Times New Roman"/>
          <w:bCs/>
          <w:sz w:val="22"/>
        </w:rPr>
        <w:t>a</w:t>
      </w:r>
      <w:r w:rsidRPr="000F7ED8">
        <w:rPr>
          <w:rFonts w:ascii="Times New Roman" w:hAnsi="Times New Roman"/>
          <w:bCs/>
          <w:sz w:val="22"/>
        </w:rPr>
        <w:t xml:space="preserve">ctively exploring the application of the new law, </w:t>
      </w:r>
      <w:r w:rsidR="00C51662" w:rsidRPr="000F7ED8">
        <w:rPr>
          <w:rFonts w:ascii="Times New Roman" w:hAnsi="Times New Roman"/>
          <w:bCs/>
          <w:sz w:val="22"/>
        </w:rPr>
        <w:t xml:space="preserve">thus, </w:t>
      </w:r>
      <w:r w:rsidRPr="000F7ED8">
        <w:rPr>
          <w:rFonts w:ascii="Times New Roman" w:hAnsi="Times New Roman"/>
          <w:bCs/>
          <w:sz w:val="22"/>
        </w:rPr>
        <w:t xml:space="preserve">a number of typical cases of representative significance have emerged, such as a court in Qingdao that ruled that Jiang had violated the In the trade secret case, an aggressive attempt was made to use the cost of lost license fees as the standard for finding substantial damages, and the defendant was sentenced to </w:t>
      </w:r>
      <w:r w:rsidR="00C51662" w:rsidRPr="000F7ED8">
        <w:rPr>
          <w:rFonts w:ascii="Times New Roman" w:hAnsi="Times New Roman"/>
          <w:bCs/>
          <w:sz w:val="22"/>
        </w:rPr>
        <w:t>l</w:t>
      </w:r>
      <w:r w:rsidRPr="000F7ED8">
        <w:rPr>
          <w:rFonts w:ascii="Times New Roman" w:hAnsi="Times New Roman"/>
          <w:bCs/>
          <w:sz w:val="22"/>
        </w:rPr>
        <w:t>imited to four years' imprisonment and a fine.</w:t>
      </w:r>
      <w:r w:rsidR="00C51662" w:rsidRPr="000F7ED8">
        <w:rPr>
          <w:rStyle w:val="af3"/>
          <w:rFonts w:ascii="Times New Roman" w:hAnsi="Times New Roman"/>
          <w:bCs/>
          <w:sz w:val="22"/>
        </w:rPr>
        <w:footnoteReference w:id="5"/>
      </w:r>
      <w:r w:rsidRPr="000F7ED8">
        <w:rPr>
          <w:rFonts w:ascii="Times New Roman" w:hAnsi="Times New Roman"/>
          <w:bCs/>
          <w:sz w:val="22"/>
        </w:rPr>
        <w:t xml:space="preserve"> </w:t>
      </w:r>
      <w:r w:rsidR="00C51662" w:rsidRPr="000F7ED8">
        <w:rPr>
          <w:rFonts w:ascii="Times New Roman" w:hAnsi="Times New Roman"/>
          <w:bCs/>
          <w:sz w:val="22"/>
        </w:rPr>
        <w:t>And, Qingdao Senruite Import and Export Co. Ltd.</w:t>
      </w:r>
      <w:r w:rsidRPr="000F7ED8">
        <w:rPr>
          <w:rFonts w:ascii="Times New Roman" w:hAnsi="Times New Roman"/>
          <w:bCs/>
          <w:sz w:val="22"/>
        </w:rPr>
        <w:t xml:space="preserve"> v. Xu Hongxing, Qingdao Hongsitong Import and Export Co. Ltd</w:t>
      </w:r>
      <w:r w:rsidR="00C51662" w:rsidRPr="000F7ED8">
        <w:rPr>
          <w:rFonts w:ascii="Times New Roman" w:hAnsi="Times New Roman"/>
          <w:bCs/>
          <w:sz w:val="22"/>
        </w:rPr>
        <w:t>.</w:t>
      </w:r>
      <w:r w:rsidRPr="000F7ED8">
        <w:rPr>
          <w:rFonts w:ascii="Times New Roman" w:hAnsi="Times New Roman"/>
          <w:bCs/>
          <w:sz w:val="22"/>
        </w:rPr>
        <w:t>, Li Longmei and Zhao Xiaoqing infringement of trade secrets dispute case was selected as one of the top ten cases of the year 2019 by the Intellectual Property Committee of the National Law Association.</w:t>
      </w:r>
    </w:p>
    <w:p w14:paraId="5F6BED2A" w14:textId="5FA0E4D4" w:rsidR="00C76E73" w:rsidRPr="000F7ED8" w:rsidRDefault="00C76E73" w:rsidP="00C76E73">
      <w:pPr>
        <w:spacing w:beforeLines="100" w:before="312" w:afterLines="100" w:after="312" w:line="240" w:lineRule="exact"/>
        <w:rPr>
          <w:rFonts w:ascii="Times New Roman" w:hAnsi="Times New Roman"/>
          <w:bCs/>
          <w:sz w:val="22"/>
        </w:rPr>
      </w:pPr>
      <w:r w:rsidRPr="000F7ED8">
        <w:rPr>
          <w:rFonts w:ascii="Times New Roman" w:hAnsi="Times New Roman"/>
          <w:bCs/>
          <w:sz w:val="22"/>
        </w:rPr>
        <w:t>However, the number of typical cases of trade secrets in Beijing, Shanghai and Jiangsu in this survey is relatively small, which I think is mainly due to the following reasons</w:t>
      </w:r>
      <w:r w:rsidR="00C51662" w:rsidRPr="000F7ED8">
        <w:rPr>
          <w:rFonts w:ascii="Times New Roman" w:hAnsi="Times New Roman"/>
          <w:bCs/>
          <w:sz w:val="22"/>
        </w:rPr>
        <w:t>:</w:t>
      </w:r>
      <w:r w:rsidRPr="000F7ED8">
        <w:rPr>
          <w:rFonts w:ascii="Times New Roman" w:hAnsi="Times New Roman"/>
          <w:bCs/>
          <w:sz w:val="22"/>
        </w:rPr>
        <w:t xml:space="preserve"> Beijing, Shanghai and Jiangsu have more typical cases involving intellectual property protection, especially in game copyright protection, trademark</w:t>
      </w:r>
      <w:r w:rsidR="00C51662" w:rsidRPr="000F7ED8">
        <w:rPr>
          <w:rFonts w:ascii="Times New Roman" w:hAnsi="Times New Roman"/>
          <w:bCs/>
          <w:sz w:val="22"/>
        </w:rPr>
        <w:t>,</w:t>
      </w:r>
      <w:r w:rsidRPr="000F7ED8">
        <w:rPr>
          <w:rFonts w:ascii="Times New Roman" w:hAnsi="Times New Roman"/>
          <w:bCs/>
          <w:sz w:val="22"/>
        </w:rPr>
        <w:t xml:space="preserve"> </w:t>
      </w:r>
      <w:r w:rsidR="00C51662" w:rsidRPr="000F7ED8">
        <w:rPr>
          <w:rFonts w:ascii="Times New Roman" w:hAnsi="Times New Roman"/>
          <w:bCs/>
          <w:sz w:val="22"/>
        </w:rPr>
        <w:t>a</w:t>
      </w:r>
      <w:r w:rsidRPr="000F7ED8">
        <w:rPr>
          <w:rFonts w:ascii="Times New Roman" w:hAnsi="Times New Roman"/>
          <w:bCs/>
          <w:sz w:val="22"/>
        </w:rPr>
        <w:t>s a result, the trade secret class of cases selected as typical is "campaigning" for a more prominent and typical decision in the area of trade secret protection. It is possible that the three regions have "lost" the battle against trade secrets. On the other hand, it is also possible that businesses in the three regions are more vigilant about protecting trade secrets and are reluctant to disclose most cases to the public</w:t>
      </w:r>
      <w:r w:rsidR="00C51662" w:rsidRPr="000F7ED8">
        <w:rPr>
          <w:rFonts w:ascii="Times New Roman" w:hAnsi="Times New Roman"/>
          <w:bCs/>
          <w:sz w:val="22"/>
        </w:rPr>
        <w:t>,</w:t>
      </w:r>
      <w:r w:rsidRPr="000F7ED8">
        <w:rPr>
          <w:rFonts w:ascii="Times New Roman" w:hAnsi="Times New Roman"/>
          <w:bCs/>
          <w:sz w:val="22"/>
        </w:rPr>
        <w:t xml:space="preserve"> </w:t>
      </w:r>
      <w:r w:rsidR="00C51662" w:rsidRPr="000F7ED8">
        <w:rPr>
          <w:rFonts w:ascii="Times New Roman" w:hAnsi="Times New Roman"/>
          <w:bCs/>
          <w:sz w:val="22"/>
        </w:rPr>
        <w:t>o</w:t>
      </w:r>
      <w:r w:rsidRPr="000F7ED8">
        <w:rPr>
          <w:rFonts w:ascii="Times New Roman" w:hAnsi="Times New Roman"/>
          <w:bCs/>
          <w:sz w:val="22"/>
        </w:rPr>
        <w:t>r perhaps the sample size of the statistics is small, and there is some bias. In any case, on the whole, Beijing, Shanghai and Jiangsu are still the most important cities in China in terms of the protection of trade secrets. A few of the best, and the courts have made a series of leading and typical cases.</w:t>
      </w:r>
      <w:r w:rsidR="00C51662" w:rsidRPr="000F7ED8">
        <w:rPr>
          <w:rFonts w:ascii="Times New Roman" w:hAnsi="Times New Roman"/>
          <w:bCs/>
          <w:sz w:val="22"/>
        </w:rPr>
        <w:t xml:space="preserve"> </w:t>
      </w:r>
    </w:p>
    <w:p w14:paraId="3A4F3C2C" w14:textId="6557A5FA" w:rsidR="00C76E73" w:rsidRPr="000F7ED8" w:rsidRDefault="00C76E73" w:rsidP="00C76E73">
      <w:pPr>
        <w:spacing w:beforeLines="100" w:before="312" w:afterLines="100" w:after="312" w:line="240" w:lineRule="exact"/>
        <w:rPr>
          <w:rFonts w:ascii="Times New Roman" w:hAnsi="Times New Roman"/>
          <w:b/>
          <w:sz w:val="22"/>
        </w:rPr>
      </w:pPr>
      <w:r w:rsidRPr="000F7ED8">
        <w:rPr>
          <w:rFonts w:ascii="Times New Roman" w:hAnsi="Times New Roman"/>
          <w:b/>
          <w:sz w:val="22"/>
        </w:rPr>
        <w:t xml:space="preserve">(vi) Low number of cases involving foreign </w:t>
      </w:r>
      <w:r w:rsidR="00D70790" w:rsidRPr="000F7ED8">
        <w:rPr>
          <w:rFonts w:ascii="Times New Roman" w:hAnsi="Times New Roman"/>
          <w:b/>
          <w:sz w:val="22"/>
        </w:rPr>
        <w:t>parties</w:t>
      </w:r>
    </w:p>
    <w:p w14:paraId="57FAC955" w14:textId="7D197413" w:rsidR="00100DC2" w:rsidRPr="000F7ED8" w:rsidRDefault="00C76E73" w:rsidP="00C76E73">
      <w:pPr>
        <w:spacing w:beforeLines="100" w:before="312" w:afterLines="100" w:after="312" w:line="240" w:lineRule="exact"/>
        <w:rPr>
          <w:rFonts w:ascii="Times New Roman" w:hAnsi="Times New Roman"/>
          <w:bCs/>
          <w:sz w:val="22"/>
        </w:rPr>
      </w:pPr>
      <w:r w:rsidRPr="000F7ED8">
        <w:rPr>
          <w:rFonts w:ascii="Times New Roman" w:hAnsi="Times New Roman"/>
          <w:bCs/>
          <w:sz w:val="22"/>
        </w:rPr>
        <w:t xml:space="preserve">Of the 47 typical cases, there were no cases involving foreign </w:t>
      </w:r>
      <w:bookmarkStart w:id="4" w:name="OLE_LINK5"/>
      <w:r w:rsidR="009F3F07" w:rsidRPr="000F7ED8">
        <w:rPr>
          <w:rFonts w:ascii="Times New Roman" w:hAnsi="Times New Roman"/>
          <w:bCs/>
          <w:sz w:val="22"/>
        </w:rPr>
        <w:t>parties</w:t>
      </w:r>
      <w:bookmarkEnd w:id="4"/>
      <w:r w:rsidRPr="000F7ED8">
        <w:rPr>
          <w:rFonts w:ascii="Times New Roman" w:hAnsi="Times New Roman"/>
          <w:bCs/>
          <w:sz w:val="22"/>
        </w:rPr>
        <w:t xml:space="preserve"> and only one case involving Taiwan, China.</w:t>
      </w:r>
      <w:r w:rsidR="009F3F07" w:rsidRPr="000F7ED8">
        <w:rPr>
          <w:rStyle w:val="af3"/>
          <w:rFonts w:ascii="Times New Roman" w:hAnsi="Times New Roman"/>
          <w:bCs/>
          <w:sz w:val="22"/>
        </w:rPr>
        <w:footnoteReference w:id="6"/>
      </w:r>
      <w:r w:rsidRPr="000F7ED8">
        <w:rPr>
          <w:rFonts w:ascii="Times New Roman" w:hAnsi="Times New Roman"/>
          <w:bCs/>
          <w:sz w:val="22"/>
        </w:rPr>
        <w:t xml:space="preserve"> The author additionally searched the public database for cases involving trade secrets </w:t>
      </w:r>
      <w:r w:rsidRPr="000F7ED8">
        <w:rPr>
          <w:rFonts w:ascii="Times New Roman" w:hAnsi="Times New Roman"/>
          <w:bCs/>
          <w:sz w:val="22"/>
        </w:rPr>
        <w:lastRenderedPageBreak/>
        <w:t xml:space="preserve">from 2016 to the present, and </w:t>
      </w:r>
      <w:r w:rsidR="004C5191" w:rsidRPr="000F7ED8">
        <w:rPr>
          <w:rFonts w:ascii="Times New Roman" w:hAnsi="Times New Roman"/>
          <w:bCs/>
          <w:sz w:val="22"/>
        </w:rPr>
        <w:t xml:space="preserve">the number of the cases involved </w:t>
      </w:r>
      <w:r w:rsidRPr="000F7ED8">
        <w:rPr>
          <w:rFonts w:ascii="Times New Roman" w:hAnsi="Times New Roman"/>
          <w:bCs/>
          <w:sz w:val="22"/>
        </w:rPr>
        <w:t xml:space="preserve">foreign </w:t>
      </w:r>
      <w:r w:rsidR="004C5191" w:rsidRPr="000F7ED8">
        <w:rPr>
          <w:rFonts w:ascii="Times New Roman" w:hAnsi="Times New Roman"/>
          <w:bCs/>
          <w:sz w:val="22"/>
        </w:rPr>
        <w:t xml:space="preserve">parties was rare, </w:t>
      </w:r>
      <w:r w:rsidRPr="000F7ED8">
        <w:rPr>
          <w:rFonts w:ascii="Times New Roman" w:hAnsi="Times New Roman"/>
          <w:bCs/>
          <w:sz w:val="22"/>
        </w:rPr>
        <w:t>only nine</w:t>
      </w:r>
      <w:r w:rsidR="004C5191" w:rsidRPr="000F7ED8">
        <w:rPr>
          <w:rStyle w:val="af3"/>
          <w:rFonts w:ascii="Times New Roman" w:hAnsi="Times New Roman"/>
          <w:bCs/>
          <w:sz w:val="22"/>
        </w:rPr>
        <w:footnoteReference w:id="7"/>
      </w:r>
      <w:r w:rsidRPr="000F7ED8">
        <w:rPr>
          <w:rFonts w:ascii="Times New Roman" w:hAnsi="Times New Roman"/>
          <w:bCs/>
          <w:sz w:val="22"/>
        </w:rPr>
        <w:t xml:space="preserve"> were retrieved, involving </w:t>
      </w:r>
      <w:r w:rsidR="004C5191" w:rsidRPr="000F7ED8">
        <w:rPr>
          <w:rFonts w:ascii="Times New Roman" w:hAnsi="Times New Roman"/>
          <w:bCs/>
          <w:sz w:val="22"/>
        </w:rPr>
        <w:t>parties</w:t>
      </w:r>
      <w:r w:rsidRPr="000F7ED8">
        <w:rPr>
          <w:rFonts w:ascii="Times New Roman" w:hAnsi="Times New Roman"/>
          <w:bCs/>
          <w:sz w:val="22"/>
        </w:rPr>
        <w:t xml:space="preserve"> such as the United States, Japan, Germany and Australia, four of which were </w:t>
      </w:r>
      <w:r w:rsidR="004C5191" w:rsidRPr="000F7ED8">
        <w:rPr>
          <w:rFonts w:ascii="Times New Roman" w:hAnsi="Times New Roman"/>
          <w:bCs/>
          <w:sz w:val="22"/>
        </w:rPr>
        <w:t xml:space="preserve">foreign vs. local, </w:t>
      </w:r>
      <w:r w:rsidRPr="000F7ED8">
        <w:rPr>
          <w:rFonts w:ascii="Times New Roman" w:hAnsi="Times New Roman"/>
          <w:bCs/>
          <w:sz w:val="22"/>
        </w:rPr>
        <w:t>three cases</w:t>
      </w:r>
      <w:r w:rsidR="004C5191" w:rsidRPr="000F7ED8">
        <w:rPr>
          <w:rFonts w:ascii="Times New Roman" w:hAnsi="Times New Roman"/>
          <w:bCs/>
          <w:sz w:val="22"/>
        </w:rPr>
        <w:t xml:space="preserve"> were local vs. foreign</w:t>
      </w:r>
      <w:r w:rsidRPr="000F7ED8">
        <w:rPr>
          <w:rFonts w:ascii="Times New Roman" w:hAnsi="Times New Roman"/>
          <w:bCs/>
          <w:sz w:val="22"/>
        </w:rPr>
        <w:t xml:space="preserve">, and two </w:t>
      </w:r>
      <w:r w:rsidR="004C5191" w:rsidRPr="000F7ED8">
        <w:rPr>
          <w:rFonts w:ascii="Times New Roman" w:hAnsi="Times New Roman"/>
          <w:bCs/>
          <w:sz w:val="22"/>
        </w:rPr>
        <w:t xml:space="preserve">were foreign vs. foreign </w:t>
      </w:r>
      <w:r w:rsidRPr="000F7ED8">
        <w:rPr>
          <w:rFonts w:ascii="Times New Roman" w:hAnsi="Times New Roman"/>
          <w:bCs/>
          <w:sz w:val="22"/>
        </w:rPr>
        <w:t xml:space="preserve">(see Figure 5 for details). Of the six cases in which foreign entities were plaintiffs, two were dismissed, two were voluntarily withdrawn and the results of the remaining two were not made public. Of the five cases in which foreign entities were defendants, the plaintiffs' claims were rejected in four cases, </w:t>
      </w:r>
      <w:r w:rsidR="001736E0" w:rsidRPr="000F7ED8">
        <w:rPr>
          <w:rFonts w:ascii="Times New Roman" w:hAnsi="Times New Roman"/>
          <w:noProof/>
        </w:rPr>
        <mc:AlternateContent>
          <mc:Choice Requires="cx1">
            <w:drawing>
              <wp:anchor distT="0" distB="0" distL="114300" distR="114300" simplePos="0" relativeHeight="251667456" behindDoc="0" locked="0" layoutInCell="1" allowOverlap="1" wp14:anchorId="0DCE5112" wp14:editId="0EF1C324">
                <wp:simplePos x="0" y="0"/>
                <wp:positionH relativeFrom="column">
                  <wp:posOffset>561315</wp:posOffset>
                </wp:positionH>
                <wp:positionV relativeFrom="paragraph">
                  <wp:posOffset>1267485</wp:posOffset>
                </wp:positionV>
                <wp:extent cx="4572000" cy="2743200"/>
                <wp:effectExtent l="0" t="0" r="0" b="0"/>
                <wp:wrapTopAndBottom/>
                <wp:docPr id="11" name="图表 11">
                  <a:extLst xmlns:a="http://schemas.openxmlformats.org/drawingml/2006/main">
                    <a:ext uri="{FF2B5EF4-FFF2-40B4-BE49-F238E27FC236}">
                      <a16:creationId xmlns:a16="http://schemas.microsoft.com/office/drawing/2014/main" id="{CFA54C47-8EF3-4FEB-BB42-1A872A46357E}"/>
                    </a:ext>
                  </a:extLst>
                </wp:docPr>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12"/>
                  </a:graphicData>
                </a:graphic>
              </wp:anchor>
            </w:drawing>
          </mc:Choice>
          <mc:Fallback>
            <w:drawing>
              <wp:anchor distT="0" distB="0" distL="114300" distR="114300" simplePos="0" relativeHeight="251667456" behindDoc="0" locked="0" layoutInCell="1" allowOverlap="1" wp14:anchorId="0DCE5112" wp14:editId="0EF1C324">
                <wp:simplePos x="0" y="0"/>
                <wp:positionH relativeFrom="column">
                  <wp:posOffset>561315</wp:posOffset>
                </wp:positionH>
                <wp:positionV relativeFrom="paragraph">
                  <wp:posOffset>1267485</wp:posOffset>
                </wp:positionV>
                <wp:extent cx="4572000" cy="2743200"/>
                <wp:effectExtent l="0" t="0" r="0" b="0"/>
                <wp:wrapTopAndBottom/>
                <wp:docPr id="11" name="图表 11">
                  <a:extLst xmlns:a="http://schemas.openxmlformats.org/drawingml/2006/main">
                    <a:ext uri="{FF2B5EF4-FFF2-40B4-BE49-F238E27FC236}">
                      <a16:creationId xmlns:a16="http://schemas.microsoft.com/office/drawing/2014/main" id="{CFA54C47-8EF3-4FEB-BB42-1A872A46357E}"/>
                    </a:ext>
                  </a:extLst>
                </wp:docPr>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11" name="图表 11">
                          <a:extLst>
                            <a:ext uri="{FF2B5EF4-FFF2-40B4-BE49-F238E27FC236}">
                              <a16:creationId xmlns:a16="http://schemas.microsoft.com/office/drawing/2014/main" id="{CFA54C47-8EF3-4FEB-BB42-1A872A46357E}"/>
                            </a:ext>
                          </a:extLst>
                        </pic:cNvPr>
                        <pic:cNvPicPr>
                          <a:picLocks noGrp="1" noRot="1" noChangeAspect="1" noMove="1" noResize="1" noEditPoints="1" noAdjustHandles="1" noChangeArrowheads="1" noChangeShapeType="1"/>
                        </pic:cNvPicPr>
                      </pic:nvPicPr>
                      <pic:blipFill>
                        <a:blip r:embed="rId13"/>
                        <a:stretch>
                          <a:fillRect/>
                        </a:stretch>
                      </pic:blipFill>
                      <pic:spPr>
                        <a:xfrm>
                          <a:off x="0" y="0"/>
                          <a:ext cx="4572000" cy="2743200"/>
                        </a:xfrm>
                        <a:prstGeom prst="rect">
                          <a:avLst/>
                        </a:prstGeom>
                      </pic:spPr>
                    </pic:pic>
                  </a:graphicData>
                </a:graphic>
              </wp:anchor>
            </w:drawing>
          </mc:Fallback>
        </mc:AlternateContent>
      </w:r>
      <w:r w:rsidRPr="000F7ED8">
        <w:rPr>
          <w:rFonts w:ascii="Times New Roman" w:hAnsi="Times New Roman"/>
          <w:bCs/>
          <w:sz w:val="22"/>
        </w:rPr>
        <w:t>and the outcome of the other case was not made public.</w:t>
      </w:r>
    </w:p>
    <w:p w14:paraId="5833175E" w14:textId="77777777" w:rsidR="001736E0" w:rsidRPr="000F7ED8" w:rsidRDefault="001736E0" w:rsidP="00C76E73">
      <w:pPr>
        <w:spacing w:beforeLines="100" w:before="312" w:afterLines="100" w:after="312" w:line="240" w:lineRule="exact"/>
        <w:rPr>
          <w:rFonts w:ascii="Times New Roman" w:hAnsi="Times New Roman"/>
          <w:bCs/>
          <w:sz w:val="22"/>
        </w:rPr>
      </w:pPr>
    </w:p>
    <w:p w14:paraId="674D4A13" w14:textId="5486F35D" w:rsidR="00A37861" w:rsidRPr="000F7ED8" w:rsidRDefault="00C76E73" w:rsidP="00C76E73">
      <w:pPr>
        <w:spacing w:beforeLines="100" w:before="312" w:afterLines="100" w:after="312" w:line="240" w:lineRule="exact"/>
        <w:rPr>
          <w:rFonts w:ascii="Times New Roman" w:hAnsi="Times New Roman"/>
          <w:bCs/>
          <w:sz w:val="22"/>
        </w:rPr>
      </w:pPr>
      <w:r w:rsidRPr="000F7ED8">
        <w:rPr>
          <w:rFonts w:ascii="Times New Roman" w:hAnsi="Times New Roman"/>
          <w:bCs/>
          <w:sz w:val="22"/>
        </w:rPr>
        <w:t xml:space="preserve">On the one hand, judging from the results of the cases of foreign-related subjects, the current domestic judicial situation is still relatively friendly to extraterritorial </w:t>
      </w:r>
      <w:r w:rsidR="004C5191" w:rsidRPr="000F7ED8">
        <w:rPr>
          <w:rFonts w:ascii="Times New Roman" w:hAnsi="Times New Roman"/>
          <w:bCs/>
          <w:sz w:val="22"/>
        </w:rPr>
        <w:t>parties.</w:t>
      </w:r>
      <w:r w:rsidRPr="000F7ED8">
        <w:rPr>
          <w:rFonts w:ascii="Times New Roman" w:hAnsi="Times New Roman"/>
          <w:bCs/>
          <w:sz w:val="22"/>
        </w:rPr>
        <w:t xml:space="preserve"> </w:t>
      </w:r>
      <w:r w:rsidR="004C5191" w:rsidRPr="000F7ED8">
        <w:rPr>
          <w:rFonts w:ascii="Times New Roman" w:hAnsi="Times New Roman"/>
          <w:bCs/>
          <w:sz w:val="22"/>
        </w:rPr>
        <w:t>A</w:t>
      </w:r>
      <w:r w:rsidRPr="000F7ED8">
        <w:rPr>
          <w:rFonts w:ascii="Times New Roman" w:hAnsi="Times New Roman"/>
          <w:bCs/>
          <w:sz w:val="22"/>
        </w:rPr>
        <w:t>t least</w:t>
      </w:r>
      <w:r w:rsidR="004C5191" w:rsidRPr="000F7ED8">
        <w:rPr>
          <w:rFonts w:ascii="Times New Roman" w:hAnsi="Times New Roman"/>
          <w:bCs/>
          <w:sz w:val="22"/>
        </w:rPr>
        <w:t>,</w:t>
      </w:r>
      <w:r w:rsidRPr="000F7ED8">
        <w:rPr>
          <w:rFonts w:ascii="Times New Roman" w:hAnsi="Times New Roman"/>
          <w:bCs/>
          <w:sz w:val="22"/>
        </w:rPr>
        <w:t xml:space="preserve"> in the cases that were sued, the court dismissed the plaintiff's claims, and in </w:t>
      </w:r>
      <w:r w:rsidR="004C5191" w:rsidRPr="000F7ED8">
        <w:rPr>
          <w:rFonts w:ascii="Times New Roman" w:hAnsi="Times New Roman"/>
          <w:bCs/>
          <w:sz w:val="22"/>
        </w:rPr>
        <w:t>the prosecuted cases, half were also closed because the plaintiff voluntarily withdrew the case, t</w:t>
      </w:r>
      <w:r w:rsidRPr="000F7ED8">
        <w:rPr>
          <w:rFonts w:ascii="Times New Roman" w:hAnsi="Times New Roman"/>
          <w:bCs/>
          <w:sz w:val="22"/>
        </w:rPr>
        <w:t xml:space="preserve">he foreign entities, as plaintiffs, have taken the initiative in the case. However, on the other hand, on the whole, </w:t>
      </w:r>
      <w:r w:rsidR="004D7748" w:rsidRPr="000F7ED8">
        <w:rPr>
          <w:rFonts w:ascii="Times New Roman" w:hAnsi="Times New Roman"/>
          <w:bCs/>
          <w:sz w:val="22"/>
        </w:rPr>
        <w:t>m</w:t>
      </w:r>
      <w:r w:rsidRPr="000F7ED8">
        <w:rPr>
          <w:rFonts w:ascii="Times New Roman" w:hAnsi="Times New Roman"/>
          <w:bCs/>
          <w:sz w:val="22"/>
        </w:rPr>
        <w:t>ost extraterritorial companies are also less likely to choose China as a place to gain a competitive advantage through trade secret litigation</w:t>
      </w:r>
      <w:r w:rsidR="004D7748" w:rsidRPr="000F7ED8">
        <w:rPr>
          <w:rFonts w:ascii="Times New Roman" w:hAnsi="Times New Roman"/>
          <w:bCs/>
          <w:sz w:val="22"/>
        </w:rPr>
        <w:t xml:space="preserve">, which may mainly attributes to China having the "low level of protection" of trade secret, which has been widely criticized abroad. </w:t>
      </w:r>
      <w:r w:rsidRPr="000F7ED8">
        <w:rPr>
          <w:rFonts w:ascii="Times New Roman" w:hAnsi="Times New Roman"/>
          <w:bCs/>
          <w:sz w:val="22"/>
        </w:rPr>
        <w:t>On January 15, 2020, China and the United States The signing of the Economic and Trade Agreement between the Government of the People's Republic of China and the Government of the United States of America (hereinafter referred to as the "China-United States Economic and Trade Agreement"), which contains a large number of provisions that impose higher requirements for the protection of our trade secrets</w:t>
      </w:r>
      <w:r w:rsidR="004D7748" w:rsidRPr="000F7ED8">
        <w:rPr>
          <w:rFonts w:ascii="Times New Roman" w:hAnsi="Times New Roman"/>
          <w:bCs/>
          <w:sz w:val="22"/>
        </w:rPr>
        <w:t>.</w:t>
      </w:r>
      <w:r w:rsidRPr="000F7ED8">
        <w:rPr>
          <w:rFonts w:ascii="Times New Roman" w:hAnsi="Times New Roman"/>
          <w:bCs/>
          <w:sz w:val="22"/>
        </w:rPr>
        <w:t xml:space="preserve"> June 10, 2020, June 17, 2020 The Supreme Law/Supreme Prosecution Service has successively issued the Interpretations on Several Issues Concerning the Application of Law in the Trial of Civil Cases Involving Disputes over </w:t>
      </w:r>
      <w:r w:rsidRPr="000F7ED8">
        <w:rPr>
          <w:rFonts w:ascii="Times New Roman" w:hAnsi="Times New Roman"/>
          <w:bCs/>
          <w:sz w:val="22"/>
        </w:rPr>
        <w:lastRenderedPageBreak/>
        <w:t xml:space="preserve">Infringement of </w:t>
      </w:r>
      <w:r w:rsidR="00B538E3" w:rsidRPr="000F7ED8">
        <w:rPr>
          <w:rFonts w:ascii="Times New Roman" w:hAnsi="Times New Roman"/>
          <w:bCs/>
          <w:sz w:val="22"/>
        </w:rPr>
        <w:t>Trade</w:t>
      </w:r>
      <w:r w:rsidRPr="000F7ED8">
        <w:rPr>
          <w:rFonts w:ascii="Times New Roman" w:hAnsi="Times New Roman"/>
          <w:bCs/>
          <w:sz w:val="22"/>
        </w:rPr>
        <w:t xml:space="preserve"> Secrets (</w:t>
      </w:r>
      <w:r w:rsidR="00B538E3" w:rsidRPr="000F7ED8">
        <w:rPr>
          <w:rFonts w:ascii="Times New Roman" w:hAnsi="Times New Roman"/>
          <w:bCs/>
          <w:sz w:val="22"/>
        </w:rPr>
        <w:t>Draft</w:t>
      </w:r>
      <w:r w:rsidRPr="000F7ED8">
        <w:rPr>
          <w:rFonts w:ascii="Times New Roman" w:hAnsi="Times New Roman"/>
          <w:bCs/>
          <w:sz w:val="22"/>
        </w:rPr>
        <w:t>). (hereinafter referred to as the "Civil Judicial Interpretations (Draft)"), the Supreme People's Court. Interpretation of the Supreme People's Procuratorate on Several Issues Concerning the Concrete Application of Law in Handling Criminal Cases Involving Infringement of Intellectual Property Rights (III) (</w:t>
      </w:r>
      <w:r w:rsidR="00B538E3" w:rsidRPr="000F7ED8">
        <w:rPr>
          <w:rFonts w:ascii="Times New Roman" w:hAnsi="Times New Roman"/>
          <w:bCs/>
          <w:sz w:val="22"/>
        </w:rPr>
        <w:t>D</w:t>
      </w:r>
      <w:r w:rsidRPr="000F7ED8">
        <w:rPr>
          <w:rFonts w:ascii="Times New Roman" w:hAnsi="Times New Roman"/>
          <w:bCs/>
          <w:sz w:val="22"/>
        </w:rPr>
        <w:t>raft) (hereinafter referred to as the "Criminal Judicial Interpretation III (Draft)"), which aims to further implement the relevant provisions of the "U.S. Economic and Trade Agreement"</w:t>
      </w:r>
      <w:r w:rsidR="00B538E3" w:rsidRPr="000F7ED8">
        <w:rPr>
          <w:rFonts w:ascii="Times New Roman" w:hAnsi="Times New Roman"/>
          <w:bCs/>
          <w:sz w:val="22"/>
        </w:rPr>
        <w:t xml:space="preserve">. </w:t>
      </w:r>
      <w:r w:rsidRPr="000F7ED8">
        <w:rPr>
          <w:rFonts w:ascii="Times New Roman" w:hAnsi="Times New Roman"/>
          <w:bCs/>
          <w:sz w:val="22"/>
        </w:rPr>
        <w:t>Provisions that clarify many of the concepts that were previously more ambiguous (such as the calculation method of the loss determination standard in criminal cases of trade secrets, etc.)</w:t>
      </w:r>
      <w:r w:rsidR="00B538E3" w:rsidRPr="000F7ED8">
        <w:rPr>
          <w:rFonts w:ascii="Times New Roman" w:hAnsi="Times New Roman"/>
          <w:bCs/>
          <w:sz w:val="22"/>
        </w:rPr>
        <w:t>.</w:t>
      </w:r>
      <w:r w:rsidRPr="000F7ED8">
        <w:rPr>
          <w:rFonts w:ascii="Times New Roman" w:hAnsi="Times New Roman"/>
          <w:bCs/>
          <w:sz w:val="22"/>
        </w:rPr>
        <w:t xml:space="preserve"> The protection of trade secrets in China has been increased. It is believed that after the interpretation comes into effect, more extra-territorial subjects will defend their trade secret rights in China.</w:t>
      </w:r>
      <w:r w:rsidR="00B538E3" w:rsidRPr="000F7ED8">
        <w:rPr>
          <w:rFonts w:ascii="Times New Roman" w:hAnsi="Times New Roman"/>
          <w:bCs/>
          <w:sz w:val="22"/>
        </w:rPr>
        <w:t xml:space="preserve"> </w:t>
      </w:r>
    </w:p>
    <w:p w14:paraId="4D99F8A2" w14:textId="32F53C7E" w:rsidR="00BC2AE8" w:rsidRPr="000F7ED8" w:rsidRDefault="00BC2AE8" w:rsidP="00BC2AE8">
      <w:pPr>
        <w:pStyle w:val="aff"/>
        <w:numPr>
          <w:ilvl w:val="0"/>
          <w:numId w:val="23"/>
        </w:numPr>
        <w:spacing w:beforeLines="100" w:before="312" w:beforeAutospacing="0" w:afterLines="100" w:after="312" w:afterAutospacing="0"/>
        <w:rPr>
          <w:b/>
          <w:iCs/>
          <w:sz w:val="24"/>
          <w:szCs w:val="24"/>
        </w:rPr>
      </w:pPr>
      <w:r w:rsidRPr="000F7ED8">
        <w:rPr>
          <w:b/>
          <w:iCs/>
          <w:sz w:val="24"/>
          <w:szCs w:val="24"/>
        </w:rPr>
        <w:t>Highlights of judicial protection in typical cases</w:t>
      </w:r>
    </w:p>
    <w:p w14:paraId="5F67250C" w14:textId="008E6425" w:rsidR="009415AF" w:rsidRPr="000F7ED8" w:rsidRDefault="009415AF" w:rsidP="009415AF">
      <w:pPr>
        <w:spacing w:beforeLines="100" w:before="312" w:afterLines="100" w:after="312" w:line="240" w:lineRule="exact"/>
        <w:rPr>
          <w:rFonts w:ascii="Times New Roman" w:hAnsi="Times New Roman"/>
          <w:bCs/>
          <w:sz w:val="22"/>
        </w:rPr>
      </w:pPr>
      <w:r w:rsidRPr="000F7ED8">
        <w:rPr>
          <w:rFonts w:ascii="Times New Roman" w:hAnsi="Times New Roman"/>
          <w:bCs/>
          <w:sz w:val="22"/>
        </w:rPr>
        <w:t>The typical cases published this time show a lot of highlights as far as the protection of trade secrets is concerned, especially for the 2019 revised</w:t>
      </w:r>
      <w:r w:rsidR="00B93CAC" w:rsidRPr="000F7ED8">
        <w:rPr>
          <w:rFonts w:ascii="Times New Roman" w:hAnsi="Times New Roman"/>
          <w:bCs/>
          <w:sz w:val="22"/>
        </w:rPr>
        <w:t xml:space="preserve"> version.</w:t>
      </w:r>
      <w:r w:rsidRPr="000F7ED8">
        <w:rPr>
          <w:rFonts w:ascii="Times New Roman" w:hAnsi="Times New Roman"/>
          <w:bCs/>
          <w:sz w:val="22"/>
        </w:rPr>
        <w:t xml:space="preserve"> The trade secret provisions of the</w:t>
      </w:r>
      <w:r w:rsidR="00B93CAC" w:rsidRPr="000F7ED8">
        <w:rPr>
          <w:rFonts w:ascii="Times New Roman" w:hAnsi="Times New Roman"/>
          <w:bCs/>
          <w:sz w:val="22"/>
        </w:rPr>
        <w:t xml:space="preserve"> New </w:t>
      </w:r>
      <w:r w:rsidR="00447C99" w:rsidRPr="000F7ED8">
        <w:rPr>
          <w:rFonts w:ascii="Times New Roman" w:hAnsi="Times New Roman"/>
          <w:bCs/>
          <w:sz w:val="22"/>
        </w:rPr>
        <w:t xml:space="preserve">anti-unfair competition law </w:t>
      </w:r>
      <w:r w:rsidRPr="000F7ED8">
        <w:rPr>
          <w:rFonts w:ascii="Times New Roman" w:hAnsi="Times New Roman"/>
          <w:bCs/>
          <w:sz w:val="22"/>
        </w:rPr>
        <w:t>have been implemented by courts around the world in their own interpretations in practical trials. Therefore, the author from the case and class case, this has made a simple summary.</w:t>
      </w:r>
      <w:r w:rsidR="00447C99" w:rsidRPr="000F7ED8">
        <w:rPr>
          <w:rFonts w:ascii="Times New Roman" w:hAnsi="Times New Roman"/>
          <w:bCs/>
          <w:sz w:val="22"/>
        </w:rPr>
        <w:t xml:space="preserve"> </w:t>
      </w:r>
    </w:p>
    <w:p w14:paraId="13052BBB" w14:textId="60C33EB9" w:rsidR="009415AF" w:rsidRPr="000F7ED8" w:rsidRDefault="009415AF" w:rsidP="009415AF">
      <w:pPr>
        <w:spacing w:beforeLines="100" w:before="312" w:afterLines="100" w:after="312" w:line="240" w:lineRule="exact"/>
        <w:rPr>
          <w:rFonts w:ascii="Times New Roman" w:hAnsi="Times New Roman"/>
          <w:b/>
          <w:sz w:val="22"/>
        </w:rPr>
      </w:pPr>
      <w:r w:rsidRPr="000F7ED8">
        <w:rPr>
          <w:rFonts w:ascii="Times New Roman" w:hAnsi="Times New Roman"/>
          <w:b/>
          <w:sz w:val="22"/>
        </w:rPr>
        <w:t>(i) trade secrets civil case trial highlights</w:t>
      </w:r>
    </w:p>
    <w:p w14:paraId="486B6DC4" w14:textId="2C00EDF9" w:rsidR="009415AF" w:rsidRPr="000F7ED8" w:rsidRDefault="009415AF" w:rsidP="009415AF">
      <w:pPr>
        <w:spacing w:beforeLines="100" w:before="312" w:afterLines="100" w:after="312" w:line="240" w:lineRule="exact"/>
        <w:rPr>
          <w:rFonts w:ascii="Times New Roman" w:hAnsi="Times New Roman"/>
          <w:bCs/>
          <w:sz w:val="22"/>
        </w:rPr>
      </w:pPr>
      <w:r w:rsidRPr="000F7ED8">
        <w:rPr>
          <w:rFonts w:ascii="Times New Roman" w:hAnsi="Times New Roman"/>
          <w:bCs/>
          <w:sz w:val="22"/>
        </w:rPr>
        <w:t xml:space="preserve">The legal source of civil protection of trade secrets is mainly China's </w:t>
      </w:r>
      <w:r w:rsidR="00F633C2" w:rsidRPr="000F7ED8">
        <w:rPr>
          <w:rFonts w:ascii="Times New Roman" w:hAnsi="Times New Roman"/>
          <w:bCs/>
          <w:sz w:val="22"/>
        </w:rPr>
        <w:t>anti-</w:t>
      </w:r>
      <w:r w:rsidRPr="000F7ED8">
        <w:rPr>
          <w:rFonts w:ascii="Times New Roman" w:hAnsi="Times New Roman"/>
          <w:bCs/>
          <w:sz w:val="22"/>
        </w:rPr>
        <w:t>unfair competition</w:t>
      </w:r>
      <w:r w:rsidR="00F633C2" w:rsidRPr="000F7ED8">
        <w:rPr>
          <w:rFonts w:ascii="Times New Roman" w:hAnsi="Times New Roman"/>
          <w:bCs/>
          <w:sz w:val="22"/>
        </w:rPr>
        <w:t xml:space="preserve"> law.</w:t>
      </w:r>
      <w:r w:rsidRPr="000F7ED8">
        <w:rPr>
          <w:rFonts w:ascii="Times New Roman" w:hAnsi="Times New Roman"/>
          <w:bCs/>
          <w:sz w:val="22"/>
        </w:rPr>
        <w:t xml:space="preserve"> </w:t>
      </w:r>
      <w:r w:rsidR="00F633C2" w:rsidRPr="000F7ED8">
        <w:rPr>
          <w:rFonts w:ascii="Times New Roman" w:hAnsi="Times New Roman"/>
          <w:bCs/>
          <w:sz w:val="22"/>
        </w:rPr>
        <w:t>I</w:t>
      </w:r>
      <w:r w:rsidRPr="000F7ED8">
        <w:rPr>
          <w:rFonts w:ascii="Times New Roman" w:hAnsi="Times New Roman"/>
          <w:bCs/>
          <w:sz w:val="22"/>
        </w:rPr>
        <w:t xml:space="preserve">n the latest revision of the anti-unfair competition law, article 9. Articles 17, 21 and 32 provide for torts, civil liability, proof, etc.: not only do they add </w:t>
      </w:r>
      <w:r w:rsidR="00F633C2" w:rsidRPr="000F7ED8">
        <w:rPr>
          <w:rFonts w:ascii="Times New Roman" w:hAnsi="Times New Roman"/>
          <w:bCs/>
          <w:sz w:val="22"/>
        </w:rPr>
        <w:t>t</w:t>
      </w:r>
      <w:r w:rsidRPr="000F7ED8">
        <w:rPr>
          <w:rFonts w:ascii="Times New Roman" w:hAnsi="Times New Roman"/>
          <w:bCs/>
          <w:sz w:val="22"/>
        </w:rPr>
        <w:t>he ways in which trade secrets can be infringed</w:t>
      </w:r>
      <w:r w:rsidR="001B49DF" w:rsidRPr="000F7ED8">
        <w:rPr>
          <w:rStyle w:val="af3"/>
          <w:rFonts w:ascii="Times New Roman" w:hAnsi="Times New Roman"/>
          <w:bCs/>
          <w:sz w:val="22"/>
        </w:rPr>
        <w:footnoteReference w:id="8"/>
      </w:r>
      <w:r w:rsidRPr="000F7ED8">
        <w:rPr>
          <w:rFonts w:ascii="Times New Roman" w:hAnsi="Times New Roman"/>
          <w:bCs/>
          <w:sz w:val="22"/>
        </w:rPr>
        <w:t>, expanding the range of potential infringing subjects</w:t>
      </w:r>
      <w:r w:rsidR="001B49DF" w:rsidRPr="000F7ED8">
        <w:rPr>
          <w:rStyle w:val="af3"/>
          <w:rFonts w:ascii="Times New Roman" w:hAnsi="Times New Roman"/>
          <w:bCs/>
          <w:sz w:val="22"/>
        </w:rPr>
        <w:footnoteReference w:id="9"/>
      </w:r>
      <w:r w:rsidRPr="000F7ED8">
        <w:rPr>
          <w:rFonts w:ascii="Times New Roman" w:hAnsi="Times New Roman"/>
          <w:bCs/>
          <w:sz w:val="22"/>
        </w:rPr>
        <w:t xml:space="preserve"> and also increasing the system of punitive damages for trade secrets</w:t>
      </w:r>
      <w:r w:rsidR="001B49DF" w:rsidRPr="000F7ED8">
        <w:rPr>
          <w:rStyle w:val="af3"/>
          <w:rFonts w:ascii="Times New Roman" w:hAnsi="Times New Roman"/>
          <w:bCs/>
          <w:sz w:val="22"/>
        </w:rPr>
        <w:footnoteReference w:id="10"/>
      </w:r>
      <w:r w:rsidRPr="000F7ED8">
        <w:rPr>
          <w:rFonts w:ascii="Times New Roman" w:hAnsi="Times New Roman"/>
          <w:bCs/>
          <w:sz w:val="22"/>
        </w:rPr>
        <w:t>. The amount of tort compensation has been increased, the rules of proof have been redistributed, and so on.</w:t>
      </w:r>
      <w:r w:rsidR="001B49DF" w:rsidRPr="000F7ED8">
        <w:rPr>
          <w:rStyle w:val="af3"/>
          <w:rFonts w:ascii="Times New Roman" w:hAnsi="Times New Roman"/>
          <w:bCs/>
          <w:sz w:val="22"/>
        </w:rPr>
        <w:footnoteReference w:id="11"/>
      </w:r>
      <w:r w:rsidRPr="000F7ED8">
        <w:rPr>
          <w:rFonts w:ascii="Times New Roman" w:hAnsi="Times New Roman"/>
          <w:bCs/>
          <w:sz w:val="22"/>
        </w:rPr>
        <w:t xml:space="preserve"> The 23 typical civil cases announced this time are the practical application of the aforementioned new provisions, which have certain "new" meanings</w:t>
      </w:r>
      <w:r w:rsidR="00F633C2" w:rsidRPr="000F7ED8">
        <w:rPr>
          <w:rFonts w:ascii="Times New Roman" w:hAnsi="Times New Roman"/>
          <w:bCs/>
          <w:sz w:val="22"/>
        </w:rPr>
        <w:t xml:space="preserve">. </w:t>
      </w:r>
      <w:r w:rsidRPr="000F7ED8">
        <w:rPr>
          <w:rFonts w:ascii="Times New Roman" w:hAnsi="Times New Roman"/>
          <w:bCs/>
          <w:sz w:val="22"/>
        </w:rPr>
        <w:t>The courts have also expressed their views on new issues that may be encountered in the application of the practice.</w:t>
      </w:r>
    </w:p>
    <w:p w14:paraId="5C5EC0F5" w14:textId="15E3C22E" w:rsidR="009415AF" w:rsidRPr="000F7ED8" w:rsidRDefault="009135D3" w:rsidP="009135D3">
      <w:pPr>
        <w:spacing w:beforeLines="100" w:before="312" w:afterLines="100" w:after="312" w:line="240" w:lineRule="exact"/>
        <w:rPr>
          <w:rFonts w:ascii="Times New Roman" w:hAnsi="Times New Roman"/>
          <w:b/>
          <w:sz w:val="22"/>
          <w:u w:val="single"/>
        </w:rPr>
      </w:pPr>
      <w:r w:rsidRPr="000F7ED8">
        <w:rPr>
          <w:rFonts w:ascii="Times New Roman" w:hAnsi="Times New Roman"/>
          <w:b/>
          <w:sz w:val="22"/>
          <w:u w:val="single"/>
        </w:rPr>
        <w:t xml:space="preserve">1. </w:t>
      </w:r>
      <w:r w:rsidR="009415AF" w:rsidRPr="000F7ED8">
        <w:rPr>
          <w:rFonts w:ascii="Times New Roman" w:hAnsi="Times New Roman"/>
          <w:b/>
          <w:sz w:val="22"/>
          <w:u w:val="single"/>
        </w:rPr>
        <w:t>Application of "punitive damages" in trade secret protection cases</w:t>
      </w:r>
    </w:p>
    <w:p w14:paraId="4EF2D2FD" w14:textId="5FACE4AB" w:rsidR="00D6602B" w:rsidRPr="000F7ED8" w:rsidRDefault="009415AF" w:rsidP="009415AF">
      <w:pPr>
        <w:spacing w:beforeLines="100" w:before="312" w:afterLines="100" w:after="312" w:line="240" w:lineRule="exact"/>
        <w:rPr>
          <w:rFonts w:ascii="Times New Roman" w:hAnsi="Times New Roman"/>
          <w:bCs/>
          <w:sz w:val="22"/>
        </w:rPr>
      </w:pPr>
      <w:r w:rsidRPr="000F7ED8">
        <w:rPr>
          <w:rFonts w:ascii="Times New Roman" w:hAnsi="Times New Roman"/>
          <w:bCs/>
          <w:sz w:val="22"/>
        </w:rPr>
        <w:t xml:space="preserve">China's punitive damages system for intellectual property rights was first introduced in the Trademark Law in 2013, and later in the revised draft Patent Law. The punitive damages standard of "double or triple" is established, and the new anti-corruption law of April 2019 provides for the imposition of punitive damages for malicious acts. If the infringement of trade secrets is serious, the actual loss </w:t>
      </w:r>
      <w:r w:rsidRPr="000F7ED8">
        <w:rPr>
          <w:rFonts w:ascii="Times New Roman" w:hAnsi="Times New Roman"/>
          <w:bCs/>
          <w:sz w:val="22"/>
        </w:rPr>
        <w:lastRenderedPageBreak/>
        <w:t xml:space="preserve">suffered by the right holder or the gain gained by the infringer as a result of the infringement shall be based on the actual loss suffered by the right holder or the gain gained by the infringer as a result of the infringement. </w:t>
      </w:r>
      <w:r w:rsidR="00D6602B" w:rsidRPr="000F7ED8">
        <w:rPr>
          <w:rFonts w:ascii="Times New Roman" w:hAnsi="Times New Roman"/>
          <w:bCs/>
          <w:sz w:val="22"/>
        </w:rPr>
        <w:t>The amount of compensation is determined on the basis of the actual loss suffered by the right holder as a result of the infringement or up to five times the benefit gained by the infringer as a result of the infringement</w:t>
      </w:r>
      <w:r w:rsidRPr="000F7ED8">
        <w:rPr>
          <w:rFonts w:ascii="Times New Roman" w:hAnsi="Times New Roman"/>
          <w:bCs/>
          <w:sz w:val="22"/>
        </w:rPr>
        <w:t xml:space="preserve">. Although it has been seven years since the establishment of China's "punitive damages system for intellectual property rights", </w:t>
      </w:r>
      <w:r w:rsidR="00D6602B" w:rsidRPr="000F7ED8">
        <w:rPr>
          <w:rFonts w:ascii="Times New Roman" w:hAnsi="Times New Roman"/>
          <w:bCs/>
          <w:sz w:val="22"/>
        </w:rPr>
        <w:t>however, in practice it is rarely applied, it was not until September 2019 that the Shanghai Pudong New Area People's Court applied it for the first time in the "Balance Body Company v. Yongkang One Love Sports Equipment Co., Ltd. trademark infringement dispute (Case No.: (2018) Shanghai 0115 Minchu 53351), supporting the plaintiff's claim for treble</w:t>
      </w:r>
      <w:r w:rsidR="00D6602B" w:rsidRPr="000F7ED8">
        <w:rPr>
          <w:rStyle w:val="af3"/>
          <w:rFonts w:ascii="Times New Roman" w:hAnsi="Times New Roman"/>
          <w:bCs/>
          <w:sz w:val="22"/>
        </w:rPr>
        <w:footnoteReference w:id="12"/>
      </w:r>
      <w:r w:rsidR="00D6602B" w:rsidRPr="000F7ED8">
        <w:rPr>
          <w:rFonts w:ascii="Times New Roman" w:hAnsi="Times New Roman"/>
          <w:bCs/>
          <w:sz w:val="22"/>
        </w:rPr>
        <w:t xml:space="preserve"> punitive damages.</w:t>
      </w:r>
      <w:r w:rsidR="004C66A7" w:rsidRPr="000F7ED8">
        <w:rPr>
          <w:rStyle w:val="af3"/>
          <w:rFonts w:ascii="Times New Roman" w:hAnsi="Times New Roman"/>
          <w:bCs/>
          <w:sz w:val="22"/>
        </w:rPr>
        <w:footnoteReference w:id="13"/>
      </w:r>
      <w:r w:rsidR="00D6602B" w:rsidRPr="000F7ED8">
        <w:rPr>
          <w:rFonts w:ascii="Times New Roman" w:hAnsi="Times New Roman"/>
          <w:bCs/>
          <w:sz w:val="22"/>
        </w:rPr>
        <w:t xml:space="preserve"> </w:t>
      </w:r>
    </w:p>
    <w:p w14:paraId="13D84771" w14:textId="2BDD81D5" w:rsidR="009415AF" w:rsidRPr="000F7ED8" w:rsidRDefault="009415AF" w:rsidP="009415AF">
      <w:pPr>
        <w:spacing w:beforeLines="100" w:before="312" w:afterLines="100" w:after="312" w:line="240" w:lineRule="exact"/>
        <w:rPr>
          <w:rFonts w:ascii="Times New Roman" w:hAnsi="Times New Roman"/>
          <w:bCs/>
          <w:sz w:val="22"/>
        </w:rPr>
      </w:pPr>
      <w:r w:rsidRPr="000F7ED8">
        <w:rPr>
          <w:rFonts w:ascii="Times New Roman" w:hAnsi="Times New Roman"/>
          <w:bCs/>
          <w:sz w:val="22"/>
        </w:rPr>
        <w:t>In this survey of typical cases, there were two cases of punitive damages involving trade secrets</w:t>
      </w:r>
      <w:r w:rsidR="00FF2761" w:rsidRPr="000F7ED8">
        <w:rPr>
          <w:rFonts w:ascii="Times New Roman" w:hAnsi="Times New Roman"/>
          <w:bCs/>
          <w:sz w:val="22"/>
        </w:rPr>
        <w:t>.</w:t>
      </w:r>
      <w:r w:rsidRPr="000F7ED8">
        <w:rPr>
          <w:rFonts w:ascii="Times New Roman" w:hAnsi="Times New Roman"/>
          <w:bCs/>
          <w:sz w:val="22"/>
        </w:rPr>
        <w:t xml:space="preserve"> </w:t>
      </w:r>
      <w:r w:rsidR="00FF2761" w:rsidRPr="000F7ED8">
        <w:rPr>
          <w:rFonts w:ascii="Times New Roman" w:hAnsi="Times New Roman"/>
          <w:bCs/>
          <w:sz w:val="22"/>
        </w:rPr>
        <w:t>I</w:t>
      </w:r>
      <w:r w:rsidRPr="000F7ED8">
        <w:rPr>
          <w:rFonts w:ascii="Times New Roman" w:hAnsi="Times New Roman"/>
          <w:bCs/>
          <w:sz w:val="22"/>
        </w:rPr>
        <w:t xml:space="preserve">n </w:t>
      </w:r>
      <w:r w:rsidR="00FF2761" w:rsidRPr="000F7ED8">
        <w:rPr>
          <w:rFonts w:ascii="Times New Roman" w:hAnsi="Times New Roman"/>
          <w:bCs/>
          <w:sz w:val="22"/>
        </w:rPr>
        <w:t xml:space="preserve">the case of </w:t>
      </w:r>
      <w:r w:rsidRPr="000F7ED8">
        <w:rPr>
          <w:rFonts w:ascii="Times New Roman" w:hAnsi="Times New Roman"/>
          <w:bCs/>
          <w:sz w:val="22"/>
        </w:rPr>
        <w:t xml:space="preserve">Tianci </w:t>
      </w:r>
      <w:r w:rsidR="00FF2761" w:rsidRPr="000F7ED8">
        <w:rPr>
          <w:rFonts w:ascii="Times New Roman" w:hAnsi="Times New Roman"/>
          <w:bCs/>
          <w:sz w:val="22"/>
        </w:rPr>
        <w:t>v.</w:t>
      </w:r>
      <w:r w:rsidRPr="000F7ED8">
        <w:rPr>
          <w:rFonts w:ascii="Times New Roman" w:hAnsi="Times New Roman"/>
          <w:bCs/>
          <w:sz w:val="22"/>
        </w:rPr>
        <w:t xml:space="preserve"> Anhui Newman's technical secret dispute</w:t>
      </w:r>
      <w:r w:rsidR="006B4C2F" w:rsidRPr="000F7ED8">
        <w:rPr>
          <w:rStyle w:val="af3"/>
          <w:rFonts w:ascii="Times New Roman" w:hAnsi="Times New Roman"/>
          <w:bCs/>
          <w:sz w:val="22"/>
        </w:rPr>
        <w:footnoteReference w:id="14"/>
      </w:r>
      <w:r w:rsidRPr="000F7ED8">
        <w:rPr>
          <w:rFonts w:ascii="Times New Roman" w:hAnsi="Times New Roman"/>
          <w:bCs/>
          <w:sz w:val="22"/>
        </w:rPr>
        <w:t xml:space="preserve">, </w:t>
      </w:r>
      <w:r w:rsidR="00FF2761" w:rsidRPr="000F7ED8">
        <w:rPr>
          <w:rFonts w:ascii="Times New Roman" w:hAnsi="Times New Roman"/>
          <w:bCs/>
          <w:sz w:val="22"/>
        </w:rPr>
        <w:t>Guangzhou Intellectual Property Court held that the infringer maliciously infringed and the circumstances are serious, and supported the request for punitive damages made by Tianci Company, and determined that it is applicable. 2.5 times the $30 million punitive judgment against him</w:t>
      </w:r>
      <w:r w:rsidRPr="000F7ED8">
        <w:rPr>
          <w:rFonts w:ascii="Times New Roman" w:hAnsi="Times New Roman"/>
          <w:bCs/>
          <w:sz w:val="22"/>
        </w:rPr>
        <w:t xml:space="preserve">; and in the case of Chongqing </w:t>
      </w:r>
      <w:r w:rsidR="00FF2761" w:rsidRPr="000F7ED8">
        <w:rPr>
          <w:rFonts w:ascii="Times New Roman" w:hAnsi="Times New Roman"/>
          <w:bCs/>
          <w:sz w:val="22"/>
        </w:rPr>
        <w:t>Manniu v.</w:t>
      </w:r>
      <w:r w:rsidRPr="000F7ED8">
        <w:rPr>
          <w:rFonts w:ascii="Times New Roman" w:hAnsi="Times New Roman"/>
          <w:bCs/>
          <w:sz w:val="22"/>
        </w:rPr>
        <w:t xml:space="preserve"> Yilian</w:t>
      </w:r>
      <w:r w:rsidR="00FF2761" w:rsidRPr="000F7ED8">
        <w:rPr>
          <w:rFonts w:ascii="Times New Roman" w:hAnsi="Times New Roman"/>
          <w:bCs/>
          <w:sz w:val="22"/>
        </w:rPr>
        <w:t>j</w:t>
      </w:r>
      <w:r w:rsidRPr="000F7ED8">
        <w:rPr>
          <w:rFonts w:ascii="Times New Roman" w:hAnsi="Times New Roman"/>
          <w:bCs/>
          <w:sz w:val="22"/>
        </w:rPr>
        <w:t>inhui, Inc.</w:t>
      </w:r>
      <w:r w:rsidR="006B4C2F" w:rsidRPr="000F7ED8">
        <w:rPr>
          <w:rStyle w:val="af3"/>
          <w:rFonts w:ascii="Times New Roman" w:hAnsi="Times New Roman"/>
          <w:bCs/>
          <w:sz w:val="22"/>
        </w:rPr>
        <w:footnoteReference w:id="15"/>
      </w:r>
      <w:r w:rsidR="00FF2761" w:rsidRPr="000F7ED8">
        <w:rPr>
          <w:rFonts w:ascii="Times New Roman" w:hAnsi="Times New Roman"/>
          <w:bCs/>
          <w:sz w:val="22"/>
        </w:rPr>
        <w:t xml:space="preserve">, the Fifth Intermediate People's Court of Chongqing held that the defendants had bought and sold trade secrets and profited from illegal transactions with obvious subjective malicious intent, so it set punitive damages at three times the amount of RMB 24,710 as the base amount. </w:t>
      </w:r>
    </w:p>
    <w:p w14:paraId="29F9302C" w14:textId="4288FADC" w:rsidR="00FA4247" w:rsidRPr="000F7ED8" w:rsidRDefault="009415AF" w:rsidP="009415AF">
      <w:pPr>
        <w:spacing w:beforeLines="100" w:before="312" w:afterLines="100" w:after="312" w:line="240" w:lineRule="exact"/>
        <w:rPr>
          <w:rFonts w:ascii="Times New Roman" w:hAnsi="Times New Roman"/>
          <w:bCs/>
          <w:sz w:val="22"/>
        </w:rPr>
      </w:pPr>
      <w:r w:rsidRPr="000F7ED8">
        <w:rPr>
          <w:rFonts w:ascii="Times New Roman" w:hAnsi="Times New Roman"/>
          <w:bCs/>
          <w:sz w:val="22"/>
        </w:rPr>
        <w:t xml:space="preserve">In fact, the main issue in the application of "punitive damages" is the determination of "malice" and "aggravated circumstances", unfortunately, </w:t>
      </w:r>
      <w:r w:rsidR="00FA4247" w:rsidRPr="000F7ED8">
        <w:rPr>
          <w:rFonts w:ascii="Times New Roman" w:hAnsi="Times New Roman"/>
          <w:bCs/>
          <w:sz w:val="22"/>
        </w:rPr>
        <w:t>i</w:t>
      </w:r>
      <w:r w:rsidRPr="000F7ED8">
        <w:rPr>
          <w:rFonts w:ascii="Times New Roman" w:hAnsi="Times New Roman"/>
          <w:bCs/>
          <w:sz w:val="22"/>
        </w:rPr>
        <w:t xml:space="preserve">n both typical cases, the court did not go into detail, but merely touched on them in a slapdash manner, in </w:t>
      </w:r>
      <w:r w:rsidR="00FA4247" w:rsidRPr="000F7ED8">
        <w:rPr>
          <w:rFonts w:ascii="Times New Roman" w:hAnsi="Times New Roman"/>
          <w:bCs/>
          <w:sz w:val="22"/>
        </w:rPr>
        <w:t>Manniu v.</w:t>
      </w:r>
      <w:r w:rsidRPr="000F7ED8">
        <w:rPr>
          <w:rFonts w:ascii="Times New Roman" w:hAnsi="Times New Roman"/>
          <w:bCs/>
          <w:sz w:val="22"/>
        </w:rPr>
        <w:t xml:space="preserve"> Yilian</w:t>
      </w:r>
      <w:r w:rsidR="00FA4247" w:rsidRPr="000F7ED8">
        <w:rPr>
          <w:rFonts w:ascii="Times New Roman" w:hAnsi="Times New Roman"/>
          <w:bCs/>
          <w:sz w:val="22"/>
        </w:rPr>
        <w:t>j</w:t>
      </w:r>
      <w:r w:rsidRPr="000F7ED8">
        <w:rPr>
          <w:rFonts w:ascii="Times New Roman" w:hAnsi="Times New Roman"/>
          <w:bCs/>
          <w:sz w:val="22"/>
        </w:rPr>
        <w:t>inhui</w:t>
      </w:r>
      <w:r w:rsidR="00FA4247" w:rsidRPr="000F7ED8">
        <w:rPr>
          <w:rFonts w:ascii="Times New Roman" w:hAnsi="Times New Roman"/>
          <w:bCs/>
          <w:sz w:val="22"/>
        </w:rPr>
        <w:t>,</w:t>
      </w:r>
      <w:r w:rsidR="00FA4247" w:rsidRPr="000F7ED8">
        <w:rPr>
          <w:rFonts w:ascii="Times New Roman" w:hAnsi="Times New Roman"/>
        </w:rPr>
        <w:t xml:space="preserve"> </w:t>
      </w:r>
      <w:r w:rsidR="00FA4247" w:rsidRPr="000F7ED8">
        <w:rPr>
          <w:rFonts w:ascii="Times New Roman" w:hAnsi="Times New Roman"/>
          <w:bCs/>
          <w:sz w:val="22"/>
        </w:rPr>
        <w:t>the court found "malice" based on the defendants’ "sale &amp; illegal transaction".</w:t>
      </w:r>
      <w:r w:rsidRPr="000F7ED8">
        <w:rPr>
          <w:rFonts w:ascii="Times New Roman" w:hAnsi="Times New Roman"/>
          <w:bCs/>
          <w:sz w:val="22"/>
        </w:rPr>
        <w:t xml:space="preserve"> In law, there is no special clear regulation, </w:t>
      </w:r>
      <w:r w:rsidR="00FA4247" w:rsidRPr="000F7ED8">
        <w:rPr>
          <w:rFonts w:ascii="Times New Roman" w:hAnsi="Times New Roman"/>
          <w:bCs/>
          <w:sz w:val="22"/>
        </w:rPr>
        <w:t>currently only the Beijing High People's Court's Intellectual Property Court issued in April 2020 a report:</w:t>
      </w:r>
      <w:r w:rsidR="00FA4247" w:rsidRPr="000F7ED8">
        <w:rPr>
          <w:rFonts w:ascii="Times New Roman" w:hAnsi="Times New Roman"/>
          <w:bCs/>
          <w:sz w:val="22"/>
        </w:rPr>
        <w:t>《</w:t>
      </w:r>
      <w:r w:rsidR="00FA4247" w:rsidRPr="000F7ED8">
        <w:rPr>
          <w:rFonts w:ascii="Times New Roman" w:hAnsi="Times New Roman"/>
          <w:bCs/>
          <w:sz w:val="22"/>
        </w:rPr>
        <w:t>Guiding Opinions on the Determination of Damages and Judicial Criteria for Statutory Compensation in Cases of Infringement of Intellectual Property Rights and Unfair Competition (hereinafter referred to as "Judicial Criteria")</w:t>
      </w:r>
      <w:r w:rsidR="00FA4247" w:rsidRPr="000F7ED8">
        <w:rPr>
          <w:rFonts w:ascii="Times New Roman" w:hAnsi="Times New Roman"/>
          <w:bCs/>
          <w:sz w:val="22"/>
        </w:rPr>
        <w:t>》</w:t>
      </w:r>
      <w:r w:rsidR="00FA4247" w:rsidRPr="000F7ED8">
        <w:rPr>
          <w:rFonts w:ascii="Times New Roman" w:hAnsi="Times New Roman"/>
          <w:bCs/>
          <w:sz w:val="22"/>
        </w:rPr>
        <w:t>. Its article 1.15 lists eight rules for "finding punitive damages in “malice”, but most of them are for "trademark", there is no separate provision for trade secrets. However, for trade secrets, "serious circumstances" are specifically listed in six cases, including "infringement of business", "long duration", "huge profits" and so on (judging from the regulations, the standard for considering "aggravated circumstances" is still relatively low). Generally speaking, the standard of the Beijing High Court is only a reference and a guideline, without legal effect, and the two typical cases do not give any clear criteria for the determination of "malice".</w:t>
      </w:r>
      <w:r w:rsidR="00FA4247" w:rsidRPr="000F7ED8">
        <w:rPr>
          <w:rFonts w:ascii="Times New Roman" w:hAnsi="Times New Roman"/>
        </w:rPr>
        <w:t xml:space="preserve"> </w:t>
      </w:r>
      <w:r w:rsidR="00FA4247" w:rsidRPr="000F7ED8">
        <w:rPr>
          <w:rFonts w:ascii="Times New Roman" w:hAnsi="Times New Roman"/>
          <w:bCs/>
          <w:sz w:val="22"/>
        </w:rPr>
        <w:t xml:space="preserve">However, in determining the </w:t>
      </w:r>
      <w:r w:rsidR="00FA4247" w:rsidRPr="000F7ED8">
        <w:rPr>
          <w:rFonts w:ascii="Times New Roman" w:hAnsi="Times New Roman"/>
          <w:b/>
          <w:i/>
          <w:iCs/>
          <w:sz w:val="22"/>
        </w:rPr>
        <w:t>base</w:t>
      </w:r>
      <w:r w:rsidR="00FA4247" w:rsidRPr="000F7ED8">
        <w:rPr>
          <w:rFonts w:ascii="Times New Roman" w:hAnsi="Times New Roman"/>
          <w:bCs/>
          <w:sz w:val="22"/>
        </w:rPr>
        <w:t xml:space="preserve"> and </w:t>
      </w:r>
      <w:r w:rsidR="00FA4247" w:rsidRPr="000F7ED8">
        <w:rPr>
          <w:rFonts w:ascii="Times New Roman" w:hAnsi="Times New Roman"/>
          <w:b/>
          <w:i/>
          <w:iCs/>
          <w:sz w:val="22"/>
        </w:rPr>
        <w:t>multiples</w:t>
      </w:r>
      <w:r w:rsidR="00FA4247" w:rsidRPr="000F7ED8">
        <w:rPr>
          <w:rFonts w:ascii="Times New Roman" w:hAnsi="Times New Roman"/>
          <w:bCs/>
          <w:sz w:val="22"/>
        </w:rPr>
        <w:t xml:space="preserve"> of punitive damages, this typical case is of some value</w:t>
      </w:r>
      <w:r w:rsidR="00157D13" w:rsidRPr="000F7ED8">
        <w:rPr>
          <w:rFonts w:ascii="Times New Roman" w:hAnsi="Times New Roman"/>
          <w:bCs/>
          <w:sz w:val="22"/>
        </w:rPr>
        <w:t xml:space="preserve">: </w:t>
      </w:r>
    </w:p>
    <w:p w14:paraId="09831A6E" w14:textId="17277AD8" w:rsidR="000D027D" w:rsidRPr="000F7ED8" w:rsidRDefault="000D027D" w:rsidP="009415AF">
      <w:pPr>
        <w:spacing w:beforeLines="100" w:before="312" w:afterLines="100" w:after="312" w:line="240" w:lineRule="exact"/>
        <w:rPr>
          <w:rFonts w:ascii="Times New Roman" w:hAnsi="Times New Roman"/>
          <w:bCs/>
          <w:sz w:val="22"/>
        </w:rPr>
      </w:pPr>
      <w:r w:rsidRPr="000F7ED8">
        <w:rPr>
          <w:rFonts w:ascii="Times New Roman" w:hAnsi="Times New Roman"/>
          <w:bCs/>
          <w:sz w:val="22"/>
        </w:rPr>
        <w:t>On the determination of the base amount, the Guangzhou Intellectual Property Court in the case of Tianci Company v. Anhui Newman Company supported the "partial profits of infringement" as the basis for compensation calculation, and held that the punitive damages system can be applied even if the amount of profits of infringement cannot be fully determined. It should also be noted that in trademark punitive damages, the base of the penalty may be either actual damages, profits gained, or a reasonable multiple of trademark royalties</w:t>
      </w:r>
      <w:r w:rsidRPr="000F7ED8">
        <w:rPr>
          <w:rStyle w:val="af3"/>
          <w:rFonts w:ascii="Times New Roman" w:hAnsi="Times New Roman"/>
          <w:bCs/>
          <w:sz w:val="22"/>
        </w:rPr>
        <w:footnoteReference w:id="16"/>
      </w:r>
      <w:r w:rsidRPr="000F7ED8">
        <w:rPr>
          <w:rFonts w:ascii="Times New Roman" w:hAnsi="Times New Roman"/>
          <w:bCs/>
          <w:sz w:val="22"/>
        </w:rPr>
        <w:t xml:space="preserve">, but in trade secret punitive damages, the base may only </w:t>
      </w:r>
      <w:r w:rsidRPr="000F7ED8">
        <w:rPr>
          <w:rFonts w:ascii="Times New Roman" w:hAnsi="Times New Roman"/>
          <w:bCs/>
          <w:sz w:val="22"/>
        </w:rPr>
        <w:lastRenderedPageBreak/>
        <w:t>be actual damages or profits gained, not including possible royalties.</w:t>
      </w:r>
    </w:p>
    <w:p w14:paraId="366FD858" w14:textId="5EB09B51" w:rsidR="004E728C" w:rsidRPr="000F7ED8" w:rsidRDefault="004E728C" w:rsidP="009415AF">
      <w:pPr>
        <w:spacing w:beforeLines="100" w:before="312" w:afterLines="100" w:after="312" w:line="240" w:lineRule="exact"/>
        <w:rPr>
          <w:rFonts w:ascii="Times New Roman" w:hAnsi="Times New Roman"/>
          <w:bCs/>
          <w:sz w:val="22"/>
        </w:rPr>
      </w:pPr>
      <w:r w:rsidRPr="000F7ED8">
        <w:rPr>
          <w:rFonts w:ascii="Times New Roman" w:hAnsi="Times New Roman"/>
          <w:bCs/>
          <w:sz w:val="22"/>
        </w:rPr>
        <w:t xml:space="preserve">In determining the multiplier, the two typical cases applied the 2.5 and 3 times standard, respectively, and it can be seen that the punitive damages multiplier It can be an integer (This is consistent with the provisions of Rule 1.18 of the Judgment Criteria). In addition, in the case of Tin Chi v. Newman, it is clear that in determining the "multiplier", the duration of the infringement, the scale of operation, the key role of the technical secrets involved in the formation of the product and the defendant's attitude and conduct of proof can be taken into account. The determination of the multiplier is relatively flexible, within the discretion of the judge, the law does not explicitly provide that the factors in a typical case can provide a certain reference for subsequent similar cases. </w:t>
      </w:r>
    </w:p>
    <w:p w14:paraId="1ABAEC33" w14:textId="38D880A2" w:rsidR="009415AF" w:rsidRPr="000F7ED8" w:rsidRDefault="009135D3" w:rsidP="009415AF">
      <w:pPr>
        <w:spacing w:beforeLines="100" w:before="312" w:afterLines="100" w:after="312" w:line="240" w:lineRule="exact"/>
        <w:rPr>
          <w:rFonts w:ascii="Times New Roman" w:hAnsi="Times New Roman"/>
          <w:b/>
          <w:sz w:val="22"/>
          <w:u w:val="single"/>
        </w:rPr>
      </w:pPr>
      <w:r w:rsidRPr="000F7ED8">
        <w:rPr>
          <w:rFonts w:ascii="Times New Roman" w:hAnsi="Times New Roman"/>
          <w:b/>
          <w:sz w:val="22"/>
          <w:u w:val="single"/>
        </w:rPr>
        <w:t>2.</w:t>
      </w:r>
      <w:r w:rsidR="009415AF" w:rsidRPr="000F7ED8">
        <w:rPr>
          <w:rFonts w:ascii="Times New Roman" w:hAnsi="Times New Roman"/>
          <w:b/>
          <w:sz w:val="22"/>
          <w:u w:val="single"/>
        </w:rPr>
        <w:t xml:space="preserve"> Clarify that "customer lists" need to contain "in-depth information" and that it is difficult to protect customer lists that "maintain long-term stable trading relationships"</w:t>
      </w:r>
    </w:p>
    <w:p w14:paraId="1004162E" w14:textId="7A85B306" w:rsidR="009415AF" w:rsidRPr="000F7ED8" w:rsidRDefault="004E728C" w:rsidP="009415AF">
      <w:pPr>
        <w:spacing w:beforeLines="100" w:before="312" w:afterLines="100" w:after="312" w:line="240" w:lineRule="exact"/>
        <w:rPr>
          <w:rFonts w:ascii="Times New Roman" w:hAnsi="Times New Roman"/>
          <w:bCs/>
          <w:sz w:val="22"/>
        </w:rPr>
      </w:pPr>
      <w:r w:rsidRPr="000F7ED8">
        <w:rPr>
          <w:rFonts w:ascii="Times New Roman" w:hAnsi="Times New Roman"/>
          <w:bCs/>
          <w:sz w:val="22"/>
        </w:rPr>
        <w:t xml:space="preserve">Article 13 (1) of the Interpretation of the Supreme People's Court on Several Issues Concerning the Application of Law in the Trial of Civil Cases Involving Unfair Competition (hereinafter referred to as "Anti-legal Judicial Interpretation"), which entered into force on 1 February 2007, </w:t>
      </w:r>
      <w:r w:rsidR="009415AF" w:rsidRPr="000F7ED8">
        <w:rPr>
          <w:rFonts w:ascii="Times New Roman" w:hAnsi="Times New Roman"/>
          <w:bCs/>
          <w:sz w:val="22"/>
        </w:rPr>
        <w:t xml:space="preserve">stipulates that "the list of customers in a trade secret, generally refers to the customers' The name, address and contact information of the customer, as well as his or her habits, intentions, and content of the transaction, constitute a special customer that differs from related public information. information, including customer lists that bring together a large number of customers, as well as specific customers with whom a long-term relationship is maintained. A literal interpretation of the law indicates that the list of customers to be protected by trade secrets must be "distinguishable from relevant public information". Although the law enumerates two categories: customer lists that bring together a large number of customers, and information on specific customers who maintain long-term stable trading relationships. In practice, it has always been difficult to determine whether customer lists are trade secrets or not, and the standards are vague. Can the standard of protection be met as long as there are enough of them? Can a customer receive protection simply by proving a long-term, stable transaction? To this end, four </w:t>
      </w:r>
      <w:r w:rsidRPr="000F7ED8">
        <w:rPr>
          <w:rFonts w:ascii="Times New Roman" w:hAnsi="Times New Roman"/>
          <w:bCs/>
          <w:sz w:val="22"/>
        </w:rPr>
        <w:t>cases</w:t>
      </w:r>
      <w:r w:rsidRPr="000F7ED8">
        <w:rPr>
          <w:rStyle w:val="af3"/>
          <w:rFonts w:ascii="Times New Roman" w:hAnsi="Times New Roman"/>
          <w:bCs/>
          <w:sz w:val="22"/>
        </w:rPr>
        <w:footnoteReference w:id="17"/>
      </w:r>
      <w:r w:rsidRPr="000F7ED8">
        <w:rPr>
          <w:rFonts w:ascii="Times New Roman" w:hAnsi="Times New Roman"/>
          <w:bCs/>
          <w:sz w:val="22"/>
        </w:rPr>
        <w:t xml:space="preserve"> </w:t>
      </w:r>
      <w:r w:rsidR="009415AF" w:rsidRPr="000F7ED8">
        <w:rPr>
          <w:rFonts w:ascii="Times New Roman" w:hAnsi="Times New Roman"/>
          <w:bCs/>
          <w:sz w:val="22"/>
        </w:rPr>
        <w:t xml:space="preserve">of </w:t>
      </w:r>
      <w:r w:rsidRPr="000F7ED8">
        <w:rPr>
          <w:rFonts w:ascii="Times New Roman" w:hAnsi="Times New Roman"/>
          <w:bCs/>
          <w:sz w:val="22"/>
        </w:rPr>
        <w:t>the “model”</w:t>
      </w:r>
      <w:r w:rsidR="009415AF" w:rsidRPr="000F7ED8">
        <w:rPr>
          <w:rFonts w:ascii="Times New Roman" w:hAnsi="Times New Roman"/>
          <w:bCs/>
          <w:sz w:val="22"/>
        </w:rPr>
        <w:t xml:space="preserve"> responded to this question.</w:t>
      </w:r>
    </w:p>
    <w:p w14:paraId="07D3984A" w14:textId="11C3B7A7" w:rsidR="009415AF" w:rsidRPr="000F7ED8" w:rsidRDefault="009415AF" w:rsidP="009415AF">
      <w:pPr>
        <w:spacing w:beforeLines="100" w:before="312" w:afterLines="100" w:after="312" w:line="240" w:lineRule="exact"/>
        <w:rPr>
          <w:rFonts w:ascii="Times New Roman" w:hAnsi="Times New Roman"/>
          <w:bCs/>
          <w:sz w:val="22"/>
        </w:rPr>
      </w:pPr>
      <w:r w:rsidRPr="000F7ED8">
        <w:rPr>
          <w:rFonts w:ascii="Times New Roman" w:hAnsi="Times New Roman"/>
          <w:bCs/>
          <w:sz w:val="22"/>
        </w:rPr>
        <w:t xml:space="preserve">First of all, in the case of the commercial secret dispute between Sentry and Hong Shitong, the Shandong Provincial High People's Court held that the list of customers to be protected can be divided into two categories, one is the depth of information of the customer list, and the other is to maintain long-term stable trading relationship with a particular customer information, only "with the depth of information" of the customer list can be protected, not all the customer list, which the Supreme People's Court in the dispute between Huayang Company </w:t>
      </w:r>
      <w:r w:rsidR="00C616D8" w:rsidRPr="000F7ED8">
        <w:rPr>
          <w:rFonts w:ascii="Times New Roman" w:hAnsi="Times New Roman"/>
          <w:bCs/>
          <w:sz w:val="22"/>
        </w:rPr>
        <w:t>v.</w:t>
      </w:r>
      <w:r w:rsidRPr="000F7ED8">
        <w:rPr>
          <w:rFonts w:ascii="Times New Roman" w:hAnsi="Times New Roman"/>
          <w:bCs/>
          <w:sz w:val="22"/>
        </w:rPr>
        <w:t xml:space="preserve"> Mydacor trade secrets retrial, also clearly put forward the protection of trade secrets by the customer list does not mean the protection of all the customer list.</w:t>
      </w:r>
    </w:p>
    <w:p w14:paraId="5B85FD7D" w14:textId="2D60DC39" w:rsidR="009415AF" w:rsidRPr="000F7ED8" w:rsidRDefault="009415AF" w:rsidP="009415AF">
      <w:pPr>
        <w:spacing w:beforeLines="100" w:before="312" w:afterLines="100" w:after="312" w:line="240" w:lineRule="exact"/>
        <w:rPr>
          <w:rFonts w:ascii="Times New Roman" w:hAnsi="Times New Roman"/>
          <w:bCs/>
          <w:sz w:val="22"/>
        </w:rPr>
      </w:pPr>
      <w:r w:rsidRPr="000F7ED8">
        <w:rPr>
          <w:rFonts w:ascii="Times New Roman" w:hAnsi="Times New Roman"/>
          <w:bCs/>
          <w:sz w:val="22"/>
        </w:rPr>
        <w:t>Secondly, as to what kind of list meets the requirement of "de</w:t>
      </w:r>
      <w:r w:rsidR="00C616D8" w:rsidRPr="000F7ED8">
        <w:rPr>
          <w:rFonts w:ascii="Times New Roman" w:hAnsi="Times New Roman"/>
          <w:bCs/>
          <w:sz w:val="22"/>
        </w:rPr>
        <w:t>ep</w:t>
      </w:r>
      <w:r w:rsidRPr="000F7ED8">
        <w:rPr>
          <w:rFonts w:ascii="Times New Roman" w:hAnsi="Times New Roman"/>
          <w:bCs/>
          <w:sz w:val="22"/>
        </w:rPr>
        <w:t xml:space="preserve">" of protection, the Supreme People's </w:t>
      </w:r>
      <w:r w:rsidRPr="000F7ED8">
        <w:rPr>
          <w:rFonts w:ascii="Times New Roman" w:hAnsi="Times New Roman"/>
          <w:bCs/>
          <w:sz w:val="22"/>
        </w:rPr>
        <w:lastRenderedPageBreak/>
        <w:t>Court held in the Huayang case that: 43 of the customers involved in the case were "customers". The order date, order number, product name, item specification, sales order quantity, unit price, untaxed local currency and other information in the customer list are General enumeration and based on the ease with which the labor skills of those employed in the relevant industry can be obtained in an online environment negates the second instance court's The view that "contact information, order date, product name, specifications, sales quantity, turnover unit price, etc. belong to the depth of information". But in this case, the defendant in the re-trial proceedings submitted additional evidence to prove that the plaintiff's customer list and the defendant's corresponding customer contact information Of those, 93% had different contact numbers, and 86% had different contacts and contact numbers, so I believe that in finding that the In addition to market factors such as the difficulty of accessing the information, it is also important to consider whether contact information, contact information, etc. are "in-depth" information. The two lists can be specifically compared with the relevant evidence, and the similarity and dissimilarity rate of the different lists can be taken into account to make a judgment.</w:t>
      </w:r>
      <w:r w:rsidR="00C616D8" w:rsidRPr="000F7ED8">
        <w:rPr>
          <w:rFonts w:ascii="Times New Roman" w:hAnsi="Times New Roman"/>
          <w:bCs/>
          <w:sz w:val="22"/>
        </w:rPr>
        <w:t xml:space="preserve"> </w:t>
      </w:r>
    </w:p>
    <w:p w14:paraId="65CB1894" w14:textId="1C26F41F" w:rsidR="009415AF" w:rsidRPr="000F7ED8" w:rsidRDefault="009415AF" w:rsidP="009415AF">
      <w:pPr>
        <w:spacing w:beforeLines="100" w:before="312" w:afterLines="100" w:after="312" w:line="240" w:lineRule="exact"/>
        <w:rPr>
          <w:rFonts w:ascii="Times New Roman" w:hAnsi="Times New Roman"/>
          <w:bCs/>
          <w:sz w:val="22"/>
        </w:rPr>
      </w:pPr>
      <w:r w:rsidRPr="000F7ED8">
        <w:rPr>
          <w:rFonts w:ascii="Times New Roman" w:hAnsi="Times New Roman"/>
          <w:bCs/>
          <w:sz w:val="22"/>
        </w:rPr>
        <w:t xml:space="preserve">As for the second type of "customer information to maintain a stable long-term stable trading relationship", the court did not support the second type of "customer information to maintain a stable long-term stable trading relationship" in the typical case of the claim. </w:t>
      </w:r>
      <w:r w:rsidR="00C616D8" w:rsidRPr="000F7ED8">
        <w:rPr>
          <w:rFonts w:ascii="Times New Roman" w:hAnsi="Times New Roman"/>
          <w:bCs/>
          <w:sz w:val="22"/>
        </w:rPr>
        <w:t>As mentioned in the article "From a practical point of view, an analysis of the Supreme People's Court on the trial of civil cases of infringement of trade secrets dispute on the interpretation of several issues of the application of the law (draft)": "In judicial practice, many right holders have claimed, through the provision of contracts, invoices, quotations, etc., that the information of a particular customer who maintains a long and stable trading relationship is a trade secret, and some courts have recognized this".</w:t>
      </w:r>
      <w:r w:rsidR="00C616D8" w:rsidRPr="000F7ED8">
        <w:rPr>
          <w:rStyle w:val="af3"/>
          <w:rFonts w:ascii="Times New Roman" w:hAnsi="Times New Roman"/>
          <w:bCs/>
          <w:sz w:val="22"/>
        </w:rPr>
        <w:footnoteReference w:id="18"/>
      </w:r>
      <w:r w:rsidR="00C616D8" w:rsidRPr="000F7ED8">
        <w:rPr>
          <w:rFonts w:ascii="Times New Roman" w:hAnsi="Times New Roman"/>
          <w:bCs/>
          <w:sz w:val="22"/>
        </w:rPr>
        <w:t xml:space="preserve"> Thus, the court has been more cautious, in the newly released commercial secrets civil judicial interpretation (draft) in Article 5 clearly "the parties only based on contracts, invoices, documents, vouchers, etc. with specific customers or only to maintain long-term stable trading relationship with specific customers, the people's court shall not support the specific customer information is a commercial secret," further improves the "customer list" protection requirements. The new protection requirements of the "customer list" do not allow the right holder to "lie" on the existing information to form a monopoly.</w:t>
      </w:r>
    </w:p>
    <w:p w14:paraId="746064F4" w14:textId="77777777" w:rsidR="00A96270" w:rsidRPr="000F7ED8" w:rsidRDefault="00A96270" w:rsidP="00A96270">
      <w:pPr>
        <w:spacing w:beforeLines="100" w:before="312" w:afterLines="100" w:after="312" w:line="240" w:lineRule="exact"/>
        <w:rPr>
          <w:rFonts w:ascii="Times New Roman" w:hAnsi="Times New Roman"/>
          <w:b/>
          <w:sz w:val="22"/>
        </w:rPr>
      </w:pPr>
      <w:r w:rsidRPr="000F7ED8">
        <w:rPr>
          <w:rFonts w:ascii="Times New Roman" w:hAnsi="Times New Roman"/>
          <w:b/>
          <w:sz w:val="22"/>
        </w:rPr>
        <w:t>(ii) Highlights of trials in criminal trade secret cases</w:t>
      </w:r>
    </w:p>
    <w:p w14:paraId="310DE1D9" w14:textId="5A71554B" w:rsidR="00A96270" w:rsidRPr="000F7ED8" w:rsidRDefault="00A96270" w:rsidP="00A96270">
      <w:pPr>
        <w:spacing w:beforeLines="100" w:before="312" w:afterLines="100" w:after="312" w:line="240" w:lineRule="exact"/>
        <w:rPr>
          <w:rFonts w:ascii="Times New Roman" w:hAnsi="Times New Roman"/>
          <w:bCs/>
          <w:sz w:val="22"/>
        </w:rPr>
      </w:pPr>
      <w:r w:rsidRPr="000F7ED8">
        <w:rPr>
          <w:rFonts w:ascii="Times New Roman" w:hAnsi="Times New Roman"/>
          <w:bCs/>
          <w:sz w:val="22"/>
        </w:rPr>
        <w:t>Article 219 of China's Criminal Law provides for the crime of infringement of trade secrets and specifies specific criminal acts, including the acquisition of rights by improper means. In the case of trade secrets of a person, trade secrets obtained by unfair means are disclosed, applied or allowed to be used. The calculation of "substantial damage" was not clearly explained. Some of the 16 typical cases in the survey responded to this, and also included some other trial highlights.</w:t>
      </w:r>
      <w:r w:rsidR="00C77F5D" w:rsidRPr="000F7ED8">
        <w:rPr>
          <w:rFonts w:ascii="Times New Roman" w:hAnsi="Times New Roman"/>
          <w:bCs/>
          <w:sz w:val="22"/>
        </w:rPr>
        <w:t xml:space="preserve"> </w:t>
      </w:r>
    </w:p>
    <w:p w14:paraId="7C9E0963" w14:textId="37DEFFA8" w:rsidR="00A96270" w:rsidRPr="000F7ED8" w:rsidRDefault="009135D3" w:rsidP="009135D3">
      <w:pPr>
        <w:spacing w:beforeLines="100" w:before="312" w:afterLines="100" w:after="312" w:line="240" w:lineRule="exact"/>
        <w:rPr>
          <w:rFonts w:ascii="Times New Roman" w:hAnsi="Times New Roman"/>
          <w:b/>
          <w:sz w:val="22"/>
          <w:u w:val="single"/>
        </w:rPr>
      </w:pPr>
      <w:r w:rsidRPr="000F7ED8">
        <w:rPr>
          <w:rFonts w:ascii="Times New Roman" w:hAnsi="Times New Roman"/>
          <w:b/>
          <w:sz w:val="22"/>
          <w:u w:val="single"/>
        </w:rPr>
        <w:t xml:space="preserve">1. </w:t>
      </w:r>
      <w:r w:rsidR="00A96270" w:rsidRPr="000F7ED8">
        <w:rPr>
          <w:rFonts w:ascii="Times New Roman" w:hAnsi="Times New Roman"/>
          <w:b/>
          <w:sz w:val="22"/>
          <w:u w:val="single"/>
        </w:rPr>
        <w:t>The real benefit - "loss of license fee" as a criterion for calculating damages</w:t>
      </w:r>
    </w:p>
    <w:p w14:paraId="4B3DC3F7" w14:textId="6CE854D5" w:rsidR="008B0ACB" w:rsidRPr="000F7ED8" w:rsidRDefault="00A96270" w:rsidP="00A96270">
      <w:pPr>
        <w:spacing w:beforeLines="100" w:before="312" w:afterLines="100" w:after="312" w:line="240" w:lineRule="exact"/>
        <w:rPr>
          <w:rFonts w:ascii="Times New Roman" w:hAnsi="Times New Roman"/>
          <w:bCs/>
          <w:sz w:val="22"/>
        </w:rPr>
      </w:pPr>
      <w:r w:rsidRPr="000F7ED8">
        <w:rPr>
          <w:rFonts w:ascii="Times New Roman" w:hAnsi="Times New Roman"/>
          <w:bCs/>
          <w:sz w:val="22"/>
        </w:rPr>
        <w:t>In the case of Jiang</w:t>
      </w:r>
      <w:r w:rsidR="00C77F5D" w:rsidRPr="000F7ED8">
        <w:rPr>
          <w:rFonts w:ascii="Times New Roman" w:hAnsi="Times New Roman"/>
          <w:bCs/>
          <w:sz w:val="22"/>
        </w:rPr>
        <w:t>’s</w:t>
      </w:r>
      <w:r w:rsidRPr="000F7ED8">
        <w:rPr>
          <w:rFonts w:ascii="Times New Roman" w:hAnsi="Times New Roman"/>
          <w:bCs/>
          <w:sz w:val="22"/>
        </w:rPr>
        <w:t xml:space="preserve"> infringement of trade secrets of Yunlu Company</w:t>
      </w:r>
      <w:r w:rsidR="00C77F5D" w:rsidRPr="000F7ED8">
        <w:rPr>
          <w:rStyle w:val="af3"/>
          <w:rFonts w:ascii="Times New Roman" w:hAnsi="Times New Roman"/>
          <w:bCs/>
          <w:sz w:val="22"/>
        </w:rPr>
        <w:footnoteReference w:id="19"/>
      </w:r>
      <w:r w:rsidRPr="000F7ED8">
        <w:rPr>
          <w:rFonts w:ascii="Times New Roman" w:hAnsi="Times New Roman"/>
          <w:bCs/>
          <w:sz w:val="22"/>
        </w:rPr>
        <w:t xml:space="preserve">, </w:t>
      </w:r>
      <w:r w:rsidR="008B0ACB" w:rsidRPr="000F7ED8">
        <w:rPr>
          <w:rFonts w:ascii="Times New Roman" w:hAnsi="Times New Roman"/>
          <w:bCs/>
          <w:sz w:val="22"/>
        </w:rPr>
        <w:t>the People's Court based on the technical secrets involved in the cloud road company caused by the loss of licensing fees cost 19.26 million yuan as the standard for the crime, sentenced the defendant constituted the crime of infringement of trade secrets, imprisonment for four years, and a fine.</w:t>
      </w:r>
      <w:r w:rsidR="008B0ACB" w:rsidRPr="000F7ED8">
        <w:rPr>
          <w:rStyle w:val="af3"/>
          <w:rFonts w:ascii="Times New Roman" w:hAnsi="Times New Roman"/>
          <w:bCs/>
          <w:sz w:val="22"/>
        </w:rPr>
        <w:footnoteReference w:id="20"/>
      </w:r>
      <w:r w:rsidR="008B0ACB" w:rsidRPr="000F7ED8">
        <w:rPr>
          <w:rFonts w:ascii="Times New Roman" w:hAnsi="Times New Roman"/>
          <w:bCs/>
          <w:sz w:val="22"/>
        </w:rPr>
        <w:t xml:space="preserve"> </w:t>
      </w:r>
    </w:p>
    <w:p w14:paraId="0BE7DDB3" w14:textId="77777777" w:rsidR="008B0ACB" w:rsidRPr="000F7ED8" w:rsidRDefault="008B0ACB" w:rsidP="00A96270">
      <w:pPr>
        <w:spacing w:beforeLines="100" w:before="312" w:afterLines="100" w:after="312" w:line="240" w:lineRule="exact"/>
        <w:rPr>
          <w:rFonts w:ascii="Times New Roman" w:hAnsi="Times New Roman"/>
          <w:bCs/>
          <w:sz w:val="22"/>
        </w:rPr>
      </w:pPr>
    </w:p>
    <w:p w14:paraId="55DB06B6" w14:textId="0DEEF129" w:rsidR="00A96270" w:rsidRPr="000F7ED8" w:rsidRDefault="00A96270" w:rsidP="008B0ACB">
      <w:pPr>
        <w:spacing w:beforeLines="100" w:before="312" w:afterLines="100" w:after="312" w:line="240" w:lineRule="exact"/>
        <w:rPr>
          <w:rFonts w:ascii="Times New Roman" w:hAnsi="Times New Roman"/>
          <w:bCs/>
          <w:sz w:val="22"/>
        </w:rPr>
      </w:pPr>
      <w:r w:rsidRPr="000F7ED8">
        <w:rPr>
          <w:rFonts w:ascii="Times New Roman" w:hAnsi="Times New Roman"/>
          <w:bCs/>
          <w:sz w:val="22"/>
        </w:rPr>
        <w:t>The recently released Judicial Interpretation (III) of Criminal Cases Involving Trade Secrets (draft) states in article 5, paragraph 1, that</w:t>
      </w:r>
      <w:r w:rsidR="008B0ACB" w:rsidRPr="000F7ED8">
        <w:rPr>
          <w:rFonts w:ascii="Times New Roman" w:hAnsi="Times New Roman"/>
          <w:bCs/>
          <w:sz w:val="22"/>
        </w:rPr>
        <w:t>: "if the right holder's trade secret has been obtained by improper means and has not been disclosed, used or allowed to be used by others, the amount of damages may be determined on the basis of a reasonable royalty on the trade secret", If the right holder's trade secret is disclosed, used or allowed to be used by others after it has been obtained by unfair means, the amount of loss may be determined by adopting the higher of the loss of sales profit caused by the infringement and the reasonable license fee for the trade secret. Royalty is the embodiment of the market value of trade secrets, for the infringer of its illegal obtained competitive advantage but did not pay a reasonable consideration, which is a kind of realistic profit,</w:t>
      </w:r>
      <w:r w:rsidR="008B0ACB" w:rsidRPr="000F7ED8">
        <w:rPr>
          <w:rStyle w:val="af3"/>
          <w:rFonts w:ascii="Times New Roman" w:hAnsi="Times New Roman"/>
          <w:bCs/>
          <w:sz w:val="22"/>
        </w:rPr>
        <w:footnoteReference w:id="21"/>
      </w:r>
      <w:r w:rsidR="008B0ACB" w:rsidRPr="000F7ED8">
        <w:rPr>
          <w:rFonts w:ascii="Times New Roman" w:hAnsi="Times New Roman"/>
          <w:bCs/>
          <w:sz w:val="22"/>
        </w:rPr>
        <w:t xml:space="preserve"> should belong to the actual loss of the right holder, as the standard of loss is legitimate and reasonable. </w:t>
      </w:r>
    </w:p>
    <w:p w14:paraId="4E9D55C0" w14:textId="046CE0E1" w:rsidR="00A96270" w:rsidRPr="000F7ED8" w:rsidRDefault="009135D3" w:rsidP="00A96270">
      <w:pPr>
        <w:spacing w:beforeLines="100" w:before="312" w:afterLines="100" w:after="312" w:line="240" w:lineRule="exact"/>
        <w:rPr>
          <w:rFonts w:ascii="Times New Roman" w:hAnsi="Times New Roman"/>
          <w:b/>
          <w:sz w:val="22"/>
          <w:u w:val="single"/>
        </w:rPr>
      </w:pPr>
      <w:r w:rsidRPr="000F7ED8">
        <w:rPr>
          <w:rFonts w:ascii="Times New Roman" w:hAnsi="Times New Roman"/>
          <w:b/>
          <w:sz w:val="22"/>
          <w:u w:val="single"/>
        </w:rPr>
        <w:t xml:space="preserve">2. </w:t>
      </w:r>
      <w:r w:rsidR="00A96270" w:rsidRPr="000F7ED8">
        <w:rPr>
          <w:rFonts w:ascii="Times New Roman" w:hAnsi="Times New Roman"/>
          <w:b/>
          <w:sz w:val="22"/>
          <w:u w:val="single"/>
        </w:rPr>
        <w:t>Appraisal of the value of trade secrets as a criterion for calculating damages</w:t>
      </w:r>
    </w:p>
    <w:p w14:paraId="41EF5263" w14:textId="74125054" w:rsidR="00CF2EB3" w:rsidRPr="000F7ED8" w:rsidRDefault="00A96270" w:rsidP="00A96270">
      <w:pPr>
        <w:spacing w:beforeLines="100" w:before="312" w:afterLines="100" w:after="312" w:line="240" w:lineRule="exact"/>
        <w:rPr>
          <w:rFonts w:ascii="Times New Roman" w:hAnsi="Times New Roman"/>
          <w:bCs/>
          <w:sz w:val="22"/>
        </w:rPr>
      </w:pPr>
      <w:r w:rsidRPr="000F7ED8">
        <w:rPr>
          <w:rFonts w:ascii="Times New Roman" w:hAnsi="Times New Roman"/>
          <w:bCs/>
          <w:sz w:val="22"/>
        </w:rPr>
        <w:t>In the case of Huang Peiyu</w:t>
      </w:r>
      <w:r w:rsidR="00CF2EB3" w:rsidRPr="000F7ED8">
        <w:rPr>
          <w:rFonts w:ascii="Times New Roman" w:hAnsi="Times New Roman"/>
          <w:bCs/>
          <w:sz w:val="22"/>
        </w:rPr>
        <w:t>,</w:t>
      </w:r>
      <w:r w:rsidRPr="000F7ED8">
        <w:rPr>
          <w:rFonts w:ascii="Times New Roman" w:hAnsi="Times New Roman"/>
          <w:bCs/>
          <w:sz w:val="22"/>
        </w:rPr>
        <w:t xml:space="preserve"> Wang Peng's infringement of ZTE Corporation's trade secrets in Shenzhen</w:t>
      </w:r>
      <w:r w:rsidR="00CF2EB3" w:rsidRPr="000F7ED8">
        <w:rPr>
          <w:rStyle w:val="af3"/>
          <w:rFonts w:ascii="Times New Roman" w:hAnsi="Times New Roman"/>
          <w:bCs/>
          <w:sz w:val="22"/>
        </w:rPr>
        <w:footnoteReference w:id="22"/>
      </w:r>
      <w:r w:rsidRPr="000F7ED8">
        <w:rPr>
          <w:rFonts w:ascii="Times New Roman" w:hAnsi="Times New Roman"/>
          <w:bCs/>
          <w:sz w:val="22"/>
        </w:rPr>
        <w:t xml:space="preserve">, </w:t>
      </w:r>
      <w:r w:rsidR="0013270F" w:rsidRPr="000F7ED8">
        <w:rPr>
          <w:rFonts w:ascii="Times New Roman" w:hAnsi="Times New Roman"/>
          <w:bCs/>
          <w:sz w:val="22"/>
        </w:rPr>
        <w:t xml:space="preserve">the Shenzhen Nanshan District Court used the appraised value of the trade secrets in question, 4.3 million yuan, as the standard for determining damages. Likewise, this is also China's courts to trade secret crime standard calculation of punishment, in the criminal case of judicial interpretation (three) (draft for comments) in the seventh article provides for complete disclosure of trade secret infringement, according to the commercial value of trade secrets to determine the amount of loss, the value can be comprehensive consideration of research and development costs, the implementation of the trade secrets to determine the income and other factors. </w:t>
      </w:r>
      <w:r w:rsidR="0085315C" w:rsidRPr="000F7ED8">
        <w:rPr>
          <w:rFonts w:ascii="Times New Roman" w:hAnsi="Times New Roman"/>
          <w:bCs/>
          <w:sz w:val="22"/>
        </w:rPr>
        <w:t xml:space="preserve">In the latter case, the value of the trade secret is completely lost, and the loss suffered by the right holder may be equated with the value of the trade secret in question; for the first case where the patent is disclosed by way of a patent, the patent still has some commercial value even though it is disclosed, although the For a trade secret right holder, the actual loss suffered is indeed equal to the value of the trade secret, but if the actor brings the patent right Assignment to, or co-ownership by, the owner of the trade secret, in which case the value of the trade secret is used to determine whether the loss is repaid. Reasonable? Or whether it can be appropriately mitigated at sentencing? </w:t>
      </w:r>
    </w:p>
    <w:p w14:paraId="5816BE79" w14:textId="699E337D" w:rsidR="00A96270" w:rsidRPr="000F7ED8" w:rsidRDefault="00A96270" w:rsidP="00A96270">
      <w:pPr>
        <w:spacing w:beforeLines="100" w:before="312" w:afterLines="100" w:after="312" w:line="240" w:lineRule="exact"/>
        <w:rPr>
          <w:rFonts w:ascii="Times New Roman" w:hAnsi="Times New Roman"/>
          <w:bCs/>
          <w:sz w:val="22"/>
        </w:rPr>
      </w:pPr>
      <w:r w:rsidRPr="000F7ED8">
        <w:rPr>
          <w:rFonts w:ascii="Times New Roman" w:hAnsi="Times New Roman"/>
          <w:bCs/>
          <w:sz w:val="22"/>
        </w:rPr>
        <w:t>In general, the value of trade secrets can as loss calculation standard, in what case can be calculated with value, in practice has been no unified standard, this typical case to this aspect of the exploration, at the same time, combined with the subsequent judicial interpretation three draft, believe that in the near future, for trade secrets criminal case loss calculation standard will be more and more clear, the legal provisions will be more and more clear.</w:t>
      </w:r>
      <w:r w:rsidR="00BC5793" w:rsidRPr="000F7ED8">
        <w:rPr>
          <w:rFonts w:ascii="Times New Roman" w:hAnsi="Times New Roman"/>
          <w:bCs/>
          <w:sz w:val="22"/>
        </w:rPr>
        <w:t xml:space="preserve"> </w:t>
      </w:r>
    </w:p>
    <w:p w14:paraId="7B960517" w14:textId="04A950FB" w:rsidR="00A96270" w:rsidRPr="000F7ED8" w:rsidRDefault="00A96270" w:rsidP="00E81DA8">
      <w:pPr>
        <w:pStyle w:val="aff"/>
        <w:numPr>
          <w:ilvl w:val="0"/>
          <w:numId w:val="23"/>
        </w:numPr>
        <w:spacing w:beforeLines="100" w:before="312" w:beforeAutospacing="0" w:afterLines="100" w:after="312" w:afterAutospacing="0"/>
        <w:rPr>
          <w:b/>
          <w:iCs/>
          <w:sz w:val="24"/>
          <w:szCs w:val="24"/>
        </w:rPr>
      </w:pPr>
      <w:r w:rsidRPr="000F7ED8">
        <w:rPr>
          <w:b/>
          <w:iCs/>
          <w:sz w:val="24"/>
          <w:szCs w:val="24"/>
        </w:rPr>
        <w:t>Conclusion</w:t>
      </w:r>
    </w:p>
    <w:p w14:paraId="742B8CF2" w14:textId="5D8C2728" w:rsidR="00BC5793" w:rsidRPr="000F7ED8" w:rsidRDefault="00A96270" w:rsidP="00A96270">
      <w:pPr>
        <w:spacing w:beforeLines="100" w:before="312" w:afterLines="100" w:after="312" w:line="240" w:lineRule="exact"/>
        <w:rPr>
          <w:rFonts w:ascii="Times New Roman" w:hAnsi="Times New Roman"/>
          <w:bCs/>
          <w:sz w:val="22"/>
        </w:rPr>
      </w:pPr>
      <w:r w:rsidRPr="000F7ED8">
        <w:rPr>
          <w:rFonts w:ascii="Times New Roman" w:hAnsi="Times New Roman"/>
          <w:bCs/>
          <w:sz w:val="22"/>
        </w:rPr>
        <w:t>In general, this collection of 47 typical cases, which embodies the highlights of China's trade secrets judicial trial, in civil terms</w:t>
      </w:r>
      <w:r w:rsidR="00BC5793" w:rsidRPr="000F7ED8">
        <w:rPr>
          <w:rFonts w:ascii="Times New Roman" w:hAnsi="Times New Roman"/>
          <w:bCs/>
          <w:sz w:val="22"/>
        </w:rPr>
        <w:t>, t</w:t>
      </w:r>
      <w:r w:rsidRPr="000F7ED8">
        <w:rPr>
          <w:rFonts w:ascii="Times New Roman" w:hAnsi="Times New Roman"/>
          <w:bCs/>
          <w:sz w:val="22"/>
        </w:rPr>
        <w:t>his is mainly in the area of punitive damages and whether customer lists can be considered trade secrets,</w:t>
      </w:r>
      <w:r w:rsidR="00BC5793" w:rsidRPr="000F7ED8">
        <w:rPr>
          <w:rFonts w:ascii="Times New Roman" w:hAnsi="Times New Roman"/>
          <w:bCs/>
          <w:sz w:val="22"/>
        </w:rPr>
        <w:t xml:space="preserve"> but, other aspects, such as the new provisions on the preservation of pre-litigation acts and the reversal of the burden of proof, are not reflected. In the eight years of judicial practice since the pre-suit conduct ban on trade secrets had its legal basis in 2012, there have been only five cases in which courts have ruled to preserve conduct, mostly between 2013-2015. </w:t>
      </w:r>
      <w:r w:rsidR="00BC5793" w:rsidRPr="000F7ED8">
        <w:rPr>
          <w:rFonts w:ascii="Times New Roman" w:hAnsi="Times New Roman"/>
          <w:bCs/>
          <w:sz w:val="22"/>
        </w:rPr>
        <w:lastRenderedPageBreak/>
        <w:t>However, the recently signed U.S.-China Economic and Trade Agreement requires that the form of "will use or attempt to use" also be recognized as being among the types of "exigent circumstances" for which a decision on the preservation of conduct can be made. In the Supreme Court issued the latest civil judicial interpretation of trade secrets (draft for comments) in article 20 also provides for further implementation of this provision, I believe that in future judicial practice will to a certain extent encourage trade secrets rights holders to apply for injunctions.</w:t>
      </w:r>
      <w:r w:rsidR="00BC5793" w:rsidRPr="000F7ED8">
        <w:rPr>
          <w:rStyle w:val="af3"/>
          <w:rFonts w:ascii="Times New Roman" w:hAnsi="Times New Roman"/>
          <w:bCs/>
          <w:sz w:val="22"/>
        </w:rPr>
        <w:footnoteReference w:id="23"/>
      </w:r>
      <w:r w:rsidR="00BC5793" w:rsidRPr="000F7ED8">
        <w:rPr>
          <w:rFonts w:ascii="Times New Roman" w:hAnsi="Times New Roman"/>
          <w:bCs/>
          <w:sz w:val="22"/>
        </w:rPr>
        <w:t xml:space="preserve"> In turn, the standards of enforcement by the relevant judicial authorities will be appropriately relaxed, and the application of the actus reus will become more and more standardized. </w:t>
      </w:r>
    </w:p>
    <w:p w14:paraId="30E0F9BF" w14:textId="0AFE347F" w:rsidR="008D30FC" w:rsidRPr="000F7ED8" w:rsidRDefault="00A96270" w:rsidP="00A96270">
      <w:pPr>
        <w:spacing w:beforeLines="100" w:before="312" w:afterLines="100" w:after="312" w:line="240" w:lineRule="exact"/>
        <w:rPr>
          <w:rFonts w:ascii="Times New Roman" w:hAnsi="Times New Roman"/>
          <w:bCs/>
          <w:sz w:val="22"/>
        </w:rPr>
      </w:pPr>
      <w:r w:rsidRPr="000F7ED8">
        <w:rPr>
          <w:rFonts w:ascii="Times New Roman" w:hAnsi="Times New Roman"/>
          <w:bCs/>
          <w:sz w:val="22"/>
        </w:rPr>
        <w:t>With regard to the shifting burden of proof, I have searched beyond the typical cases, mainly retrieving two cases after the new anti-law came into force</w:t>
      </w:r>
      <w:r w:rsidR="008D30FC" w:rsidRPr="000F7ED8">
        <w:rPr>
          <w:rFonts w:ascii="Times New Roman" w:hAnsi="Times New Roman"/>
          <w:bCs/>
          <w:sz w:val="22"/>
        </w:rPr>
        <w:t>: 1)</w:t>
      </w:r>
      <w:r w:rsidR="008D30FC" w:rsidRPr="000F7ED8">
        <w:rPr>
          <w:rFonts w:ascii="Times New Roman" w:hAnsi="Times New Roman"/>
        </w:rPr>
        <w:t xml:space="preserve"> </w:t>
      </w:r>
      <w:r w:rsidR="008D30FC" w:rsidRPr="000F7ED8">
        <w:rPr>
          <w:rFonts w:ascii="Times New Roman" w:hAnsi="Times New Roman"/>
          <w:bCs/>
          <w:sz w:val="22"/>
        </w:rPr>
        <w:t>Copyright Ownership Dispute and Infringement of Trade Secrets Dispute between Meizhou Green Lantern Technology Co. and Rao Silan, Xu Hongyan , Meizhou Yue Feng Arts and Crafts Co. in Meizhou City, Guangdong Province, the Intermediate People's Court ((2019) Yue 14 Minchu 5); 2)</w:t>
      </w:r>
      <w:r w:rsidR="008D30FC" w:rsidRPr="000F7ED8">
        <w:rPr>
          <w:rFonts w:ascii="Times New Roman" w:hAnsi="Times New Roman"/>
        </w:rPr>
        <w:t xml:space="preserve"> </w:t>
      </w:r>
      <w:r w:rsidR="008D30FC" w:rsidRPr="000F7ED8">
        <w:rPr>
          <w:rFonts w:ascii="Times New Roman" w:hAnsi="Times New Roman"/>
          <w:bCs/>
          <w:sz w:val="22"/>
        </w:rPr>
        <w:t xml:space="preserve">Beijing Shijingshan District People's Court, Beijing Hongwei Centronics Co. v. Beijing Shicheng Weiye Technology Development Co., Li Luya, Sun Juan Infringement of Business Secrets Dispute ((2018) Beijing 0107 Minchu 1518). </w:t>
      </w:r>
      <w:r w:rsidR="005E52F5" w:rsidRPr="000F7ED8">
        <w:rPr>
          <w:rFonts w:ascii="Times New Roman" w:hAnsi="Times New Roman"/>
          <w:bCs/>
          <w:sz w:val="22"/>
        </w:rPr>
        <w:t>The new anti-unfair competition law shifts part of the burden of proof in civil trade secret tort disputes to the alleged infringer</w:t>
      </w:r>
      <w:r w:rsidR="005E52F5" w:rsidRPr="000F7ED8">
        <w:rPr>
          <w:rStyle w:val="af3"/>
          <w:rFonts w:ascii="Times New Roman" w:hAnsi="Times New Roman"/>
          <w:bCs/>
          <w:sz w:val="22"/>
        </w:rPr>
        <w:footnoteReference w:id="24"/>
      </w:r>
      <w:r w:rsidR="005E52F5" w:rsidRPr="000F7ED8">
        <w:rPr>
          <w:rFonts w:ascii="Times New Roman" w:hAnsi="Times New Roman"/>
          <w:bCs/>
          <w:sz w:val="22"/>
        </w:rPr>
        <w:t>. The trade secret right holder only needs to provide prima facie evidence that it has taken measures to keep the claimed trade secret confidential, plus provide evidence that the trade secret has been infringed, and it is up to the suspected infringer to prove that the right holder's claim is not a trade secret, and it is up to the suspected infringer to bear the consequences of the lack of proof. This greatly reduces the burden of proof and is absolutely good news for trade secret rights holders.</w:t>
      </w:r>
    </w:p>
    <w:p w14:paraId="4459E7DD" w14:textId="61DC6EBA" w:rsidR="005E52F5" w:rsidRPr="000F7ED8" w:rsidRDefault="005E52F5" w:rsidP="00A96270">
      <w:pPr>
        <w:spacing w:beforeLines="100" w:before="312" w:afterLines="100" w:after="312" w:line="240" w:lineRule="exact"/>
        <w:rPr>
          <w:rFonts w:ascii="Times New Roman" w:hAnsi="Times New Roman"/>
          <w:bCs/>
          <w:sz w:val="22"/>
        </w:rPr>
      </w:pPr>
      <w:r w:rsidRPr="000F7ED8">
        <w:rPr>
          <w:rFonts w:ascii="Times New Roman" w:hAnsi="Times New Roman"/>
          <w:bCs/>
          <w:sz w:val="22"/>
        </w:rPr>
        <w:t>In fact, it's a further manifestation of the U.S.-China economic and trade agreement in our subsequent legislation. Article 1.5 of the US-China Economic and Trade Agreement provides that</w:t>
      </w:r>
      <w:r w:rsidR="00813EEA" w:rsidRPr="000F7ED8">
        <w:rPr>
          <w:rFonts w:ascii="Times New Roman" w:hAnsi="Times New Roman"/>
          <w:bCs/>
          <w:sz w:val="22"/>
        </w:rPr>
        <w:t xml:space="preserve">: The Parties shall provide that in civil judicial proceedings for trade secret infringement, the burden of proof or production of evidence shifts to the defendant if the trade secret right holder has provided prima facie evidence, including circumstantial evidence, that reasonably points to an infringement of trade secrets by the defendant. </w:t>
      </w:r>
    </w:p>
    <w:p w14:paraId="2036B244" w14:textId="77777777" w:rsidR="00A96270" w:rsidRPr="000F7ED8" w:rsidRDefault="00A96270" w:rsidP="00A96270">
      <w:pPr>
        <w:spacing w:beforeLines="100" w:before="312" w:afterLines="100" w:after="312" w:line="240" w:lineRule="exact"/>
        <w:rPr>
          <w:rFonts w:ascii="Times New Roman" w:hAnsi="Times New Roman"/>
          <w:bCs/>
          <w:sz w:val="22"/>
        </w:rPr>
      </w:pPr>
      <w:r w:rsidRPr="000F7ED8">
        <w:rPr>
          <w:rFonts w:ascii="Times New Roman" w:hAnsi="Times New Roman"/>
          <w:bCs/>
          <w:sz w:val="22"/>
        </w:rPr>
        <w:t>In addition, the highlights of the criminal cases reflected in the typical cases are mainly reflected in the criteria and calculation method of the crime of trade secret infringement "causing significant losses to the right holder" and the conduct prohibition order, and the relevant issues involved have been clarified in the Criminal Interpretation on Trade Secrets (III) (draft for comments), although further adjustments may need to be made based on practice.</w:t>
      </w:r>
    </w:p>
    <w:p w14:paraId="4F4AE861" w14:textId="2D26F878" w:rsidR="009415AF" w:rsidRPr="000F7ED8" w:rsidRDefault="00A96270" w:rsidP="00A96270">
      <w:pPr>
        <w:spacing w:beforeLines="100" w:before="312" w:afterLines="100" w:after="312" w:line="240" w:lineRule="exact"/>
        <w:rPr>
          <w:rFonts w:ascii="Times New Roman" w:hAnsi="Times New Roman"/>
          <w:bCs/>
          <w:sz w:val="22"/>
        </w:rPr>
      </w:pPr>
      <w:r w:rsidRPr="000F7ED8">
        <w:rPr>
          <w:rFonts w:ascii="Times New Roman" w:hAnsi="Times New Roman"/>
          <w:bCs/>
          <w:sz w:val="22"/>
        </w:rPr>
        <w:t>In general, the Chinese government is actively fulfilling the commitments signed in the US-China economic and trade agreement, increasing the protection of intellectual property rights (including trade secrets), and striving to create a better business environment, which is absolutely good news for foreign investors, and the future environment for the protection of trade secrets in China will certainly be more friendly and more fair.</w:t>
      </w:r>
      <w:r w:rsidR="00813EEA" w:rsidRPr="000F7ED8">
        <w:rPr>
          <w:rFonts w:ascii="Times New Roman" w:hAnsi="Times New Roman"/>
          <w:bCs/>
          <w:sz w:val="22"/>
        </w:rPr>
        <w:t xml:space="preserve"> </w:t>
      </w:r>
    </w:p>
    <w:sectPr w:rsidR="009415AF" w:rsidRPr="000F7ED8" w:rsidSect="00DE7E2A">
      <w:headerReference w:type="default" r:id="rId14"/>
      <w:footerReference w:type="default" r:id="rId15"/>
      <w:footerReference w:type="first" r:id="rId16"/>
      <w:pgSz w:w="11906" w:h="16838"/>
      <w:pgMar w:top="1440" w:right="1247" w:bottom="1440" w:left="1797" w:header="567" w:footer="624"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C1F19F" w14:textId="77777777" w:rsidR="00C90EC3" w:rsidRDefault="00C90EC3" w:rsidP="00BE0C5B">
      <w:r>
        <w:separator/>
      </w:r>
    </w:p>
  </w:endnote>
  <w:endnote w:type="continuationSeparator" w:id="0">
    <w:p w14:paraId="0B4CA3A6" w14:textId="77777777" w:rsidR="00C90EC3" w:rsidRDefault="00C90EC3" w:rsidP="00BE0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楷体">
    <w:altName w:val="Arial Unicode MS"/>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F465C" w14:textId="25A2F9F3" w:rsidR="00E064B8" w:rsidRPr="00346D44" w:rsidRDefault="00E064B8">
    <w:pPr>
      <w:pStyle w:val="ac"/>
      <w:jc w:val="right"/>
      <w:rPr>
        <w:rFonts w:ascii="Arial" w:hAnsi="Arial" w:cs="Arial"/>
      </w:rPr>
    </w:pPr>
    <w:r w:rsidRPr="00346D44">
      <w:rPr>
        <w:rFonts w:ascii="Arial" w:hAnsi="Arial" w:cs="Arial"/>
      </w:rPr>
      <w:t xml:space="preserve"> </w:t>
    </w:r>
    <w:sdt>
      <w:sdtPr>
        <w:rPr>
          <w:rFonts w:ascii="Arial" w:hAnsi="Arial" w:cs="Arial"/>
        </w:rPr>
        <w:id w:val="1827705356"/>
        <w:docPartObj>
          <w:docPartGallery w:val="Page Numbers (Bottom of Page)"/>
          <w:docPartUnique/>
        </w:docPartObj>
      </w:sdtPr>
      <w:sdtEndPr/>
      <w:sdtContent>
        <w:r w:rsidRPr="00346D44">
          <w:rPr>
            <w:rFonts w:ascii="Arial" w:hAnsi="Arial" w:cs="Arial"/>
          </w:rPr>
          <w:fldChar w:fldCharType="begin"/>
        </w:r>
        <w:r w:rsidRPr="00346D44">
          <w:rPr>
            <w:rFonts w:ascii="Arial" w:hAnsi="Arial" w:cs="Arial"/>
          </w:rPr>
          <w:instrText>PAGE   \* MERGEFORMAT</w:instrText>
        </w:r>
        <w:r w:rsidRPr="00346D44">
          <w:rPr>
            <w:rFonts w:ascii="Arial" w:hAnsi="Arial" w:cs="Arial"/>
          </w:rPr>
          <w:fldChar w:fldCharType="separate"/>
        </w:r>
        <w:r w:rsidRPr="00346D44">
          <w:rPr>
            <w:rFonts w:ascii="Arial" w:hAnsi="Arial" w:cs="Arial"/>
            <w:lang w:val="zh-CN"/>
          </w:rPr>
          <w:t>2</w:t>
        </w:r>
        <w:r w:rsidRPr="00346D44">
          <w:rPr>
            <w:rFonts w:ascii="Arial" w:hAnsi="Arial" w:cs="Arial"/>
          </w:rPr>
          <w:fldChar w:fldCharType="end"/>
        </w:r>
        <w:r w:rsidRPr="00346D44">
          <w:rPr>
            <w:rFonts w:ascii="Arial" w:hAnsi="Arial" w:cs="Arial"/>
          </w:rPr>
          <w:t xml:space="preserve"> </w:t>
        </w:r>
      </w:sdtContent>
    </w:sdt>
  </w:p>
  <w:p w14:paraId="0950E4FA" w14:textId="77777777" w:rsidR="00E064B8" w:rsidRDefault="00E064B8">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BC7D4D" w14:textId="5968774D" w:rsidR="00E064B8" w:rsidRPr="00E064B8" w:rsidRDefault="00E064B8">
    <w:pPr>
      <w:pStyle w:val="ac"/>
      <w:jc w:val="right"/>
      <w:rPr>
        <w:rFonts w:ascii="Arial" w:hAnsi="Arial" w:cs="Arial"/>
        <w:sz w:val="20"/>
        <w:szCs w:val="20"/>
      </w:rPr>
    </w:pPr>
    <w:r>
      <w:t xml:space="preserve"> </w:t>
    </w:r>
    <w:sdt>
      <w:sdtPr>
        <w:id w:val="218099128"/>
        <w:docPartObj>
          <w:docPartGallery w:val="Page Numbers (Bottom of Page)"/>
          <w:docPartUnique/>
        </w:docPartObj>
      </w:sdtPr>
      <w:sdtEndPr>
        <w:rPr>
          <w:rFonts w:ascii="Arial" w:hAnsi="Arial" w:cs="Arial"/>
          <w:sz w:val="20"/>
          <w:szCs w:val="20"/>
        </w:rPr>
      </w:sdtEndPr>
      <w:sdtContent>
        <w:r w:rsidRPr="00E064B8">
          <w:rPr>
            <w:rFonts w:ascii="Arial" w:hAnsi="Arial" w:cs="Arial"/>
            <w:sz w:val="20"/>
            <w:szCs w:val="20"/>
          </w:rPr>
          <w:fldChar w:fldCharType="begin"/>
        </w:r>
        <w:r w:rsidRPr="00E064B8">
          <w:rPr>
            <w:rFonts w:ascii="Arial" w:hAnsi="Arial" w:cs="Arial"/>
            <w:sz w:val="20"/>
            <w:szCs w:val="20"/>
          </w:rPr>
          <w:instrText>PAGE   \* MERGEFORMAT</w:instrText>
        </w:r>
        <w:r w:rsidRPr="00E064B8">
          <w:rPr>
            <w:rFonts w:ascii="Arial" w:hAnsi="Arial" w:cs="Arial"/>
            <w:sz w:val="20"/>
            <w:szCs w:val="20"/>
          </w:rPr>
          <w:fldChar w:fldCharType="separate"/>
        </w:r>
        <w:r w:rsidRPr="00E064B8">
          <w:rPr>
            <w:rFonts w:ascii="Arial" w:hAnsi="Arial" w:cs="Arial"/>
            <w:sz w:val="20"/>
            <w:szCs w:val="20"/>
            <w:lang w:val="zh-CN"/>
          </w:rPr>
          <w:t>2</w:t>
        </w:r>
        <w:r w:rsidRPr="00E064B8">
          <w:rPr>
            <w:rFonts w:ascii="Arial" w:hAnsi="Arial" w:cs="Arial"/>
            <w:sz w:val="20"/>
            <w:szCs w:val="20"/>
          </w:rPr>
          <w:fldChar w:fldCharType="end"/>
        </w:r>
        <w:r>
          <w:rPr>
            <w:rFonts w:ascii="Arial" w:hAnsi="Arial" w:cs="Arial"/>
            <w:sz w:val="20"/>
            <w:szCs w:val="20"/>
          </w:rPr>
          <w:t xml:space="preserve"> </w:t>
        </w:r>
      </w:sdtContent>
    </w:sdt>
  </w:p>
  <w:p w14:paraId="1425129F" w14:textId="77777777" w:rsidR="00E064B8" w:rsidRDefault="00E064B8">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7B73C3" w14:textId="77777777" w:rsidR="00C90EC3" w:rsidRDefault="00C90EC3" w:rsidP="00BE0C5B">
      <w:r>
        <w:separator/>
      </w:r>
    </w:p>
  </w:footnote>
  <w:footnote w:type="continuationSeparator" w:id="0">
    <w:p w14:paraId="3C96F4EA" w14:textId="77777777" w:rsidR="00C90EC3" w:rsidRDefault="00C90EC3" w:rsidP="00BE0C5B">
      <w:r>
        <w:continuationSeparator/>
      </w:r>
    </w:p>
  </w:footnote>
  <w:footnote w:id="1">
    <w:p w14:paraId="1431B9CC" w14:textId="7F507E2A" w:rsidR="008B440E" w:rsidRPr="000F7ED8" w:rsidRDefault="008B440E">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See Beijing Municipal Higher People's Court Intellectual Property Subject Group, "Research Report on Judicial Trial of Commercial Secrets after the Amendment of the Anti-Unfair Competition Law," in Electronic Intellectual Property, No. 11, 2019, pp. 66-67. </w:t>
      </w:r>
    </w:p>
  </w:footnote>
  <w:footnote w:id="2">
    <w:p w14:paraId="3117693D" w14:textId="0377D986" w:rsidR="008B440E" w:rsidRPr="000F7ED8" w:rsidRDefault="008B440E">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On April 23, 2019, the Tenth Meeting of the Standing Committee of the Thirteenth National People's Congress amended the Law of the People's Republic of China Against Unfair Competition, which came into effect on April 23, 2019.</w:t>
      </w:r>
    </w:p>
  </w:footnote>
  <w:footnote w:id="3">
    <w:p w14:paraId="4CA6FD94" w14:textId="440EB462" w:rsidR="000101B7" w:rsidRPr="000F7ED8" w:rsidRDefault="000101B7">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Xinli Media Group Co. and Beijing Paihua Culture Media Co. infringement of trade secrets dispute, Beijing Chaoyang District People's Court (2017) Beijing 0105 Minchu 68514, 50 typical intellectual property cases in Chinese courts in 2019.</w:t>
      </w:r>
    </w:p>
  </w:footnote>
  <w:footnote w:id="4">
    <w:p w14:paraId="488D1EA8" w14:textId="4407720C" w:rsidR="00225D2B" w:rsidRPr="000F7ED8" w:rsidRDefault="00225D2B">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op. cit. 1, Beijing Municipal High People's Court Intellectual Property Issues Group, p. 66.</w:t>
      </w:r>
    </w:p>
  </w:footnote>
  <w:footnote w:id="5">
    <w:p w14:paraId="6F4453AB" w14:textId="54563920" w:rsidR="00C51662" w:rsidRPr="000F7ED8" w:rsidRDefault="00C51662">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Jiang violated Qingdao Yunlu Advanced Materials Technology Company's trade secret crime, Qingdao Jimo District People's Court, Qingdao, Shandong Province, one of the top ten typical cases of judicial protection of intellectual property rights in Qingdao Intermediate Court in 2019, the details of which can be seen later. </w:t>
      </w:r>
    </w:p>
  </w:footnote>
  <w:footnote w:id="6">
    <w:p w14:paraId="0C710393" w14:textId="08AE798C" w:rsidR="009F3F07" w:rsidRPr="000F7ED8" w:rsidRDefault="009F3F07">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w:t>
      </w:r>
      <w:r w:rsidR="00E32FA1" w:rsidRPr="000F7ED8">
        <w:rPr>
          <w:rFonts w:ascii="Times New Roman" w:hAnsi="Times New Roman"/>
        </w:rPr>
        <w:t xml:space="preserve">Kunshan Hezhun Testing Co. </w:t>
      </w:r>
      <w:r w:rsidRPr="000F7ED8">
        <w:rPr>
          <w:rFonts w:ascii="Times New Roman" w:hAnsi="Times New Roman"/>
        </w:rPr>
        <w:t>Ltd.</w:t>
      </w:r>
      <w:r w:rsidR="00E32FA1" w:rsidRPr="000F7ED8">
        <w:rPr>
          <w:rFonts w:ascii="Times New Roman" w:hAnsi="Times New Roman"/>
        </w:rPr>
        <w:t>,</w:t>
      </w:r>
      <w:r w:rsidRPr="000F7ED8">
        <w:rPr>
          <w:rFonts w:ascii="Times New Roman" w:hAnsi="Times New Roman"/>
        </w:rPr>
        <w:t xml:space="preserve"> Fujiwa Machinery Industry (Kunshan) Co. Ltd. v. Chongqing Sanyou Machinery Manufacturing Co. Ltd. and Lin Xinhong (a Taiwan resident) for infringement of technical secrets, Top 10 Intellectual Property Cases in Chongqing Courts in 2019.</w:t>
      </w:r>
    </w:p>
  </w:footnote>
  <w:footnote w:id="7">
    <w:p w14:paraId="7D89F884" w14:textId="77777777" w:rsidR="00170F84" w:rsidRPr="000F7ED8" w:rsidRDefault="004C5191">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w:t>
      </w:r>
      <w:r w:rsidR="00170F84" w:rsidRPr="000F7ED8">
        <w:rPr>
          <w:rFonts w:ascii="Times New Roman" w:hAnsi="Times New Roman"/>
        </w:rPr>
        <w:t xml:space="preserve">The nine cases are: </w:t>
      </w:r>
    </w:p>
    <w:p w14:paraId="56E5DB4A" w14:textId="77777777" w:rsidR="00170F84" w:rsidRPr="000F7ED8" w:rsidRDefault="00170F84">
      <w:pPr>
        <w:pStyle w:val="af1"/>
        <w:rPr>
          <w:rFonts w:ascii="Times New Roman" w:hAnsi="Times New Roman"/>
        </w:rPr>
      </w:pPr>
      <w:r w:rsidRPr="000F7ED8">
        <w:rPr>
          <w:rFonts w:ascii="Times New Roman" w:hAnsi="Times New Roman"/>
        </w:rPr>
        <w:t>1) Ruijian Technology (Beijing) Co., Ltd. V. Pim Sebastian Schmitz, et al. infringing on trade secrets Dispute;</w:t>
      </w:r>
    </w:p>
    <w:p w14:paraId="4D52C02B" w14:textId="77777777" w:rsidR="00170F84" w:rsidRPr="000F7ED8" w:rsidRDefault="00170F84">
      <w:pPr>
        <w:pStyle w:val="af1"/>
        <w:rPr>
          <w:rFonts w:ascii="Times New Roman" w:hAnsi="Times New Roman"/>
        </w:rPr>
      </w:pPr>
      <w:r w:rsidRPr="000F7ED8">
        <w:rPr>
          <w:rFonts w:ascii="Times New Roman" w:hAnsi="Times New Roman"/>
        </w:rPr>
        <w:t>2) dispute between INLIX USA, Inc. v. China Petroleum &amp; Chemical Corporation Anqing Branch, Shanghai Petrochemical Machinery Manufacturing Co. Ltd., Shanghai Research Institute of Petrochemical Technology, China Petroleum and Chemical Corporation, Ningbo Petrochemical Co. Ltd. for infringement of trade secrets;</w:t>
      </w:r>
    </w:p>
    <w:p w14:paraId="20E1ABB7" w14:textId="77777777" w:rsidR="00170F84" w:rsidRPr="000F7ED8" w:rsidRDefault="00170F84">
      <w:pPr>
        <w:pStyle w:val="af1"/>
        <w:rPr>
          <w:rFonts w:ascii="Times New Roman" w:hAnsi="Times New Roman"/>
        </w:rPr>
      </w:pPr>
      <w:r w:rsidRPr="000F7ED8">
        <w:rPr>
          <w:rFonts w:ascii="Times New Roman" w:hAnsi="Times New Roman"/>
        </w:rPr>
        <w:t>3) Bausch &amp; Lomb Japan Ltd. v. Alcon (China) Co. Ltd., Ian Dowling in an unfair competition dispute;</w:t>
      </w:r>
    </w:p>
    <w:p w14:paraId="6A847494" w14:textId="77777777" w:rsidR="00170F84" w:rsidRPr="000F7ED8" w:rsidRDefault="00170F84">
      <w:pPr>
        <w:pStyle w:val="af1"/>
        <w:rPr>
          <w:rFonts w:ascii="Times New Roman" w:hAnsi="Times New Roman"/>
        </w:rPr>
      </w:pPr>
      <w:r w:rsidRPr="000F7ED8">
        <w:rPr>
          <w:rFonts w:ascii="Times New Roman" w:hAnsi="Times New Roman"/>
        </w:rPr>
        <w:t>4) Jinan Wanxingda Chemical Co., Ltd. v. Meng Fangyue, sinbondindustrialco over unfair competition.</w:t>
      </w:r>
    </w:p>
    <w:p w14:paraId="62C11134" w14:textId="301C58BC" w:rsidR="00170F84" w:rsidRPr="000F7ED8" w:rsidRDefault="00170F84">
      <w:pPr>
        <w:pStyle w:val="af1"/>
        <w:rPr>
          <w:rFonts w:ascii="Times New Roman" w:hAnsi="Times New Roman"/>
        </w:rPr>
      </w:pPr>
      <w:r w:rsidRPr="000F7ED8">
        <w:rPr>
          <w:rFonts w:ascii="Times New Roman" w:hAnsi="Times New Roman"/>
        </w:rPr>
        <w:t xml:space="preserve">5) Wuxi Feishi Control System Co. Ltd. v. Wuxi Yuexuan Electromechanical Equipment Co., Ltd., Cosmopolitan (Shanghai) Trading Co., Ltd., Sun Jigang, and Japan Takasumi Co.; </w:t>
      </w:r>
    </w:p>
    <w:p w14:paraId="4A850148" w14:textId="7C2D9D78" w:rsidR="00170F84" w:rsidRPr="000F7ED8" w:rsidRDefault="00170F84">
      <w:pPr>
        <w:pStyle w:val="af1"/>
        <w:rPr>
          <w:rFonts w:ascii="Times New Roman" w:hAnsi="Times New Roman"/>
        </w:rPr>
      </w:pPr>
      <w:r w:rsidRPr="000F7ED8">
        <w:rPr>
          <w:rFonts w:ascii="Times New Roman" w:hAnsi="Times New Roman"/>
        </w:rPr>
        <w:t xml:space="preserve">6)Shanghai Kawaguchi Machinery Co. Ltd., Kawaguchi Kajiu, Kawaguchi Iron Works Co., Ltd., Kawaguchi Masanori v. Guangdong Yizumi Precision Machinery Co., Ltd., Zhang Yixin Dispute over False Advertising, Infringement of Trade Secrets. </w:t>
      </w:r>
    </w:p>
    <w:p w14:paraId="58F5E50D" w14:textId="77777777" w:rsidR="00170F84" w:rsidRPr="000F7ED8" w:rsidRDefault="00170F84">
      <w:pPr>
        <w:pStyle w:val="af1"/>
        <w:rPr>
          <w:rFonts w:ascii="Times New Roman" w:hAnsi="Times New Roman"/>
        </w:rPr>
      </w:pPr>
      <w:r w:rsidRPr="000F7ED8">
        <w:rPr>
          <w:rFonts w:ascii="Times New Roman" w:hAnsi="Times New Roman"/>
        </w:rPr>
        <w:t>7) Schott Co. v. Rizhao Asahi Electronics Co., Ltd., Christianschü over infringement of technological secrets;</w:t>
      </w:r>
    </w:p>
    <w:p w14:paraId="3A4C4521" w14:textId="77777777" w:rsidR="00170F84" w:rsidRPr="000F7ED8" w:rsidRDefault="00170F84">
      <w:pPr>
        <w:pStyle w:val="af1"/>
        <w:rPr>
          <w:rFonts w:ascii="Times New Roman" w:hAnsi="Times New Roman"/>
        </w:rPr>
      </w:pPr>
      <w:r w:rsidRPr="000F7ED8">
        <w:rPr>
          <w:rFonts w:ascii="Times New Roman" w:hAnsi="Times New Roman"/>
        </w:rPr>
        <w:t>8) Asahi Kasei Co. Ltd. v. Shandong Haili Chemical Co., Ltd. for infringement of technical secrets;</w:t>
      </w:r>
    </w:p>
    <w:p w14:paraId="7E834D8E" w14:textId="1B04D93C" w:rsidR="004C5191" w:rsidRPr="000F7ED8" w:rsidRDefault="00170F84">
      <w:pPr>
        <w:pStyle w:val="af1"/>
        <w:rPr>
          <w:rFonts w:ascii="Times New Roman" w:hAnsi="Times New Roman"/>
        </w:rPr>
      </w:pPr>
      <w:r w:rsidRPr="000F7ED8">
        <w:rPr>
          <w:rFonts w:ascii="Times New Roman" w:hAnsi="Times New Roman"/>
        </w:rPr>
        <w:t xml:space="preserve">9) Shanghai Dao Ming Cheng Education Co. Technology Development Limited, Yu Run, CFA Institute Copyright Infringement Dispute, False Advertising Dispute, Infringement of the Trade secret disputes. </w:t>
      </w:r>
    </w:p>
  </w:footnote>
  <w:footnote w:id="8">
    <w:p w14:paraId="081EE8F7" w14:textId="3278C081" w:rsidR="001B49DF" w:rsidRPr="000F7ED8" w:rsidRDefault="001B49DF">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In article 9, paragraph 1, the term "electronic trespass" has been added and amended to read: "the acquisition of a right holder's trade secrets by theft, bribery, fraud, coercion, electronic trespass or other improper means".</w:t>
      </w:r>
    </w:p>
  </w:footnote>
  <w:footnote w:id="9">
    <w:p w14:paraId="39B9E62E" w14:textId="3B03789B" w:rsidR="001B49DF" w:rsidRPr="000F7ED8" w:rsidRDefault="001B49DF">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A new paragraph 2 has been added to Article 9: "Where any natural, legal or unlawful person or organization other than the operator commits any of the illegal acts listed in the preceding paragraph, it shall be deemed to be an infringement of commercial secrets." </w:t>
      </w:r>
    </w:p>
  </w:footnote>
  <w:footnote w:id="10">
    <w:p w14:paraId="3AB62C12" w14:textId="65C7FE8F" w:rsidR="001B49DF" w:rsidRPr="000F7ED8" w:rsidRDefault="001B49DF">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w:t>
      </w:r>
      <w:r w:rsidR="00FD4807" w:rsidRPr="000F7ED8">
        <w:rPr>
          <w:rFonts w:ascii="Times New Roman" w:hAnsi="Times New Roman"/>
        </w:rPr>
        <w:t>In paragraph 3 of Article 17, added "Where an operator maliciously commits an act of infringement of trade secrets and the circumstances are serious, the amount of compensation may be determined at a rate of not less than five times the amount determined in accordance with the above-mentioned method"; and increased "compensation of not more than three million yuan" in paragraph 4 of Article 17 to "compensation of not more than five million yuan", both changed to "where an operator violates the provisions of Articles 6 and 9 of this Law, and it is difficult to determine the actual loss suffered by the right holder as a result of the infringement or the benefit gained by the infringer as a result of the infringement, the people's court shall award compensation of not more than five million yuan to the right holder according to the circumstances of the infringement".</w:t>
      </w:r>
    </w:p>
  </w:footnote>
  <w:footnote w:id="11">
    <w:p w14:paraId="7645AAD0" w14:textId="512589D9" w:rsidR="001B49DF" w:rsidRPr="000F7ED8" w:rsidRDefault="001B49DF">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w:t>
      </w:r>
      <w:r w:rsidR="00FD4807" w:rsidRPr="000F7ED8">
        <w:rPr>
          <w:rFonts w:ascii="Times New Roman" w:hAnsi="Times New Roman"/>
        </w:rPr>
        <w:t xml:space="preserve">Add Article 32: "In civil trial proceedings for infringement of trade secrets, the trade secret right holder shall provide prima facie evidence that he or she is has taken measures to keep the claimed trade secret confidential and there is a reasonable indication that the trade secret has been infringed, the alleged infringer shall prove that the right holder The claimed trade secret is not a trade secret under this Law.  If the trade secret right holder provides prima facie evidence reasonably indicating that the trade secret has been infringed, and provides one of the following evidence, the suspected infringer shall Demonstrate that there has been no infringement of trade secrets: (i) Evidence that the alleged infringer had access or opportunity to obtain trade secrets. and it uses substantially the same information as the trade secret; (ii) there is evidence that the trade secret has been disclosed by the alleged infringer, and use or risk of disclosure or use; and (c) other evidence of infringement of trade secrets by alleged infringers. </w:t>
      </w:r>
    </w:p>
  </w:footnote>
  <w:footnote w:id="12">
    <w:p w14:paraId="4D5B1DC1" w14:textId="28E9516E" w:rsidR="00D6602B" w:rsidRPr="000F7ED8" w:rsidRDefault="00D6602B">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The case is governed by the 2013 Trademark Act, which applies the "one times more than three times" punitive damages provision, and therefore the case is not a case of "double or triple" punitive damages. The "treble" in the case was already the maximum award, and the new Trademark Act of 2019 has increased the multiplier for punitive damages to " more than one times and less than five times". </w:t>
      </w:r>
    </w:p>
  </w:footnote>
  <w:footnote w:id="13">
    <w:p w14:paraId="06CD60B2" w14:textId="34929E67" w:rsidR="004C66A7" w:rsidRPr="000F7ED8" w:rsidRDefault="004C66A7">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See Sha Haitao and Wang Zhenya, "Awakening the 'Sleeping' Intellectual Property Punitive Damages System," in Jincheng Tongda WeChat Official Account, April 26, 2020.</w:t>
      </w:r>
    </w:p>
  </w:footnote>
  <w:footnote w:id="14">
    <w:p w14:paraId="7ABA93D1" w14:textId="08A43861" w:rsidR="006B4C2F" w:rsidRPr="000F7ED8" w:rsidRDefault="006B4C2F">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Guangzhou Tinci High-Tech Materials Co.Ltd., Jiujiang Tianci High-Tech Materials Co. v. Anhui Newman Fine Chemical Co. etc. infringement of technology secrets dispute, 2019 Guangzhou Intellectual Property Court service and protection of science and technology innovation top ten typical cases, (2017) Guangdong 73 Minchu 2163.</w:t>
      </w:r>
    </w:p>
  </w:footnote>
  <w:footnote w:id="15">
    <w:p w14:paraId="6BCA8631" w14:textId="16DA238D" w:rsidR="006B4C2F" w:rsidRPr="000F7ED8" w:rsidRDefault="006B4C2F">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Chongqing Manniu Business Consulting Co. v. Tan Qing, Chongqing YilianJinhui Enterprise Management Consulting Co. infringement of trade secrets dispute, 2019 China Court 50 typical intellectual property cases &amp; 2019 Chongqing Court Top 10 intellectual property cases, (2019) Yu 05 Minchu No. 1225.</w:t>
      </w:r>
    </w:p>
  </w:footnote>
  <w:footnote w:id="16">
    <w:p w14:paraId="60A06C8F" w14:textId="6A8C8157" w:rsidR="000D027D" w:rsidRPr="000F7ED8" w:rsidRDefault="000D027D">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Article 63(1) of the New Trademark Law (2019): the amount of compensation for infringement of the exclusive right to use a trademark shall be based on the amount of compensation paid by the right holder as a result of the infringement of the actual damages suffered; where actual damages are difficult to ascertain, they may be determined by reference to the infringer's benefit from the infringement; the right holder's If it is difficult to determine the loss or the benefit gained by the infringer, it shall be reasonably determined with reference to the multiple of the trademark royalty. For the malicious infringement of the exclusive right of the trademark, if the circumstances are serious, the compensation may be determined at least twice the amount determined in accordance with the above-mentioned method and not more than five times the amount determined (b) The amount. The amount of compensation should include the reasonable expenses incurred by the right holder to put an end to the violation.</w:t>
      </w:r>
    </w:p>
  </w:footnote>
  <w:footnote w:id="17">
    <w:p w14:paraId="7631F339" w14:textId="2442A3EA" w:rsidR="004E728C" w:rsidRPr="000F7ED8" w:rsidRDefault="004E728C">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They are: are:</w:t>
      </w:r>
    </w:p>
    <w:p w14:paraId="2B97145C" w14:textId="1DB0AA80" w:rsidR="004E728C" w:rsidRPr="000F7ED8" w:rsidRDefault="004E728C" w:rsidP="004E728C">
      <w:pPr>
        <w:pStyle w:val="af1"/>
        <w:rPr>
          <w:rFonts w:ascii="Times New Roman" w:hAnsi="Times New Roman"/>
        </w:rPr>
      </w:pPr>
      <w:r w:rsidRPr="000F7ED8">
        <w:rPr>
          <w:rFonts w:ascii="Times New Roman" w:hAnsi="Times New Roman"/>
        </w:rPr>
        <w:t>(1) Huayang Emerging Technology (Tianjin) Group Co. v. Maidakel (Tianjin) Technology Co., Wang Chenggang, Zhang Hongxing, Liu Fang infringement of trade secrets dispute, Supreme People's Court (2019) Supreme Law No. Min Zai 268, 50 typical intellectual property cases in Chinese courts in 2019;</w:t>
      </w:r>
    </w:p>
    <w:p w14:paraId="23813B91" w14:textId="5833551E" w:rsidR="004E728C" w:rsidRPr="000F7ED8" w:rsidRDefault="004E728C" w:rsidP="004E728C">
      <w:pPr>
        <w:pStyle w:val="af1"/>
        <w:rPr>
          <w:rFonts w:ascii="Times New Roman" w:hAnsi="Times New Roman"/>
        </w:rPr>
      </w:pPr>
      <w:r w:rsidRPr="000F7ED8">
        <w:rPr>
          <w:rFonts w:ascii="Times New Roman" w:hAnsi="Times New Roman"/>
        </w:rPr>
        <w:t>(2) Qingdao Senteri Import &amp; Export Co. v. Xu Hongxing, Qingdao Hongshuo In &amp; Out Co., Li Longmei, Zhao Xiaoqing Infringement of Trade Secrets Dispute, Shandong Provincial High People's Court, 2019 National Law Association Intellectual Property Committee Annual Top Ten Cases;</w:t>
      </w:r>
    </w:p>
    <w:p w14:paraId="445533BE" w14:textId="55675B46" w:rsidR="004E728C" w:rsidRPr="000F7ED8" w:rsidRDefault="004E728C" w:rsidP="004E728C">
      <w:pPr>
        <w:pStyle w:val="af1"/>
        <w:rPr>
          <w:rFonts w:ascii="Times New Roman" w:hAnsi="Times New Roman"/>
        </w:rPr>
      </w:pPr>
      <w:r w:rsidRPr="000F7ED8">
        <w:rPr>
          <w:rFonts w:ascii="Times New Roman" w:hAnsi="Times New Roman"/>
        </w:rPr>
        <w:t>(3) Guangdong Xiyue Intellectual Property Co., Ltd. v. Deng Xiaolan, Foshan Qiaojia Intellectual Property Service Co., Foshan Intermediate People's Court, Foshan City, Guangdong Province (2019) No. 2768, Guangdong 06 Civil Final No. 2768, Foshan Court 2019 Typical Cases of Intellectual Property Civil Cases;</w:t>
      </w:r>
    </w:p>
    <w:p w14:paraId="792562D2" w14:textId="35D2130E" w:rsidR="004E728C" w:rsidRPr="000F7ED8" w:rsidRDefault="004E728C" w:rsidP="004E728C">
      <w:pPr>
        <w:pStyle w:val="af1"/>
        <w:rPr>
          <w:rFonts w:ascii="Times New Roman" w:hAnsi="Times New Roman"/>
        </w:rPr>
      </w:pPr>
      <w:r w:rsidRPr="000F7ED8">
        <w:rPr>
          <w:rFonts w:ascii="Times New Roman" w:hAnsi="Times New Roman"/>
        </w:rPr>
        <w:t xml:space="preserve">(4) Jinfeng Technology (Shenzhen) Co. Ltd. </w:t>
      </w:r>
      <w:r w:rsidR="00AA4E34" w:rsidRPr="000F7ED8">
        <w:rPr>
          <w:rFonts w:ascii="Times New Roman" w:hAnsi="Times New Roman"/>
        </w:rPr>
        <w:t>v.</w:t>
      </w:r>
      <w:r w:rsidRPr="000F7ED8">
        <w:rPr>
          <w:rFonts w:ascii="Times New Roman" w:hAnsi="Times New Roman"/>
        </w:rPr>
        <w:t xml:space="preserve"> Chen Guoling, Chen Zhiping, Shenzhen Oruifeng Technology Co. Ltd.</w:t>
      </w:r>
      <w:r w:rsidR="00AA4E34" w:rsidRPr="000F7ED8">
        <w:rPr>
          <w:rFonts w:ascii="Times New Roman" w:hAnsi="Times New Roman"/>
        </w:rPr>
        <w:t>,</w:t>
      </w:r>
      <w:r w:rsidRPr="000F7ED8">
        <w:rPr>
          <w:rFonts w:ascii="Times New Roman" w:hAnsi="Times New Roman"/>
        </w:rPr>
        <w:t xml:space="preserve"> Abbey Mould Engineering Co. Ltd. infringement of trade secrets dispute, (2017) Yue 03 Min re No. 138.</w:t>
      </w:r>
      <w:r w:rsidR="00AA4E34" w:rsidRPr="000F7ED8">
        <w:rPr>
          <w:rFonts w:ascii="Times New Roman" w:hAnsi="Times New Roman"/>
        </w:rPr>
        <w:t xml:space="preserve"> </w:t>
      </w:r>
    </w:p>
  </w:footnote>
  <w:footnote w:id="18">
    <w:p w14:paraId="2A75C14B" w14:textId="66FEA419" w:rsidR="00C616D8" w:rsidRPr="000F7ED8" w:rsidRDefault="00C616D8">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w:t>
      </w:r>
      <w:r w:rsidR="00FF6B5A" w:rsidRPr="000F7ED8">
        <w:rPr>
          <w:rFonts w:ascii="Times New Roman" w:hAnsi="Times New Roman"/>
        </w:rPr>
        <w:t xml:space="preserve">Zou Wen, Liu Xueqing, "Analysis of the Interpretation of the Supreme People's Court on Several Issues Concerning the Application of Law in the Trial of Civil Cases Involving Disputes over Infringement of Commercial Secrets (Draft) from a Practical Perspective", from Wechat Official Accounts: Zhichanli, June 17, 2020. </w:t>
      </w:r>
    </w:p>
  </w:footnote>
  <w:footnote w:id="19">
    <w:p w14:paraId="22081DDF" w14:textId="1EE9152A" w:rsidR="00C77F5D" w:rsidRPr="000F7ED8" w:rsidRDefault="00C77F5D">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w:t>
      </w:r>
      <w:r w:rsidR="000F7ED8" w:rsidRPr="000F7ED8">
        <w:rPr>
          <w:rFonts w:ascii="Times New Roman" w:hAnsi="Times New Roman"/>
        </w:rPr>
        <w:t>Op. cit. 5.</w:t>
      </w:r>
    </w:p>
  </w:footnote>
  <w:footnote w:id="20">
    <w:p w14:paraId="280B640B" w14:textId="54EB6247" w:rsidR="008B0ACB" w:rsidRPr="000F7ED8" w:rsidRDefault="008B0ACB">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w:t>
      </w:r>
      <w:r w:rsidR="00813EEA" w:rsidRPr="000F7ED8">
        <w:rPr>
          <w:rFonts w:ascii="Times New Roman" w:hAnsi="Times New Roman"/>
        </w:rPr>
        <w:t>According to the 2004 Interpretation of the Supreme People's Court and the Supreme People's Procuratorate on Several Issues Concerning the Concrete Application of Law in Handling Criminal Cases Involving Infringement of Intellectual Property Rights (I), 2008 Provisions of the Supreme People's Procuratorate and the Ministry of Public Security on the Criteria for Filing and Prosecuting Criminal Cases under the Jurisdiction of Public Security Organs (II), 2020 Interpretation of the Supreme People's Court and the Supreme People's Procuratorate on Several Issues Concerning the Concrete Application of Laws in Handling Criminal Cases of Infringement of Intellectual Property Rights (III) (draft for comments): Where the amount of damage caused to the right holder is more than 500,000 yuan but less than 2.5 million yuan, the person shall be sentenced to fixed-term imprisonment of not more than three years or criminal detention, with or without a fine; where the amount of damage is more than 2.5 million yuan, the person shall be sentenced to fixed-term imprisonment of not less than three years but not more than seven years, with or without a fine, if the damage causes particularly serious consequences.</w:t>
      </w:r>
    </w:p>
  </w:footnote>
  <w:footnote w:id="21">
    <w:p w14:paraId="29CD86F7" w14:textId="16E72CAE" w:rsidR="008B0ACB" w:rsidRPr="000F7ED8" w:rsidRDefault="008B0ACB">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w:t>
      </w:r>
      <w:r w:rsidR="00813EEA" w:rsidRPr="000F7ED8">
        <w:rPr>
          <w:rFonts w:ascii="Times New Roman" w:hAnsi="Times New Roman"/>
        </w:rPr>
        <w:t>Xia Feng, Du Xiaokuan, and Deng Yanyan, "Article-by-article Interpretation of the Interpretation (III) of the Supreme People's Court and the Supreme People's Procuratorate on Several Issues Concerning the Concrete Application of Laws in Handling Criminal Cases Involving Infringement of Intellectual Property Rights (Draft for Comment)," in Zhiye Wechat Official Account, June 24, 2020.</w:t>
      </w:r>
    </w:p>
  </w:footnote>
  <w:footnote w:id="22">
    <w:p w14:paraId="78798FCD" w14:textId="0E7BAC42" w:rsidR="00CF2EB3" w:rsidRPr="000F7ED8" w:rsidRDefault="00CF2EB3">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w:t>
      </w:r>
      <w:r w:rsidR="00813EEA" w:rsidRPr="000F7ED8">
        <w:rPr>
          <w:rFonts w:ascii="Times New Roman" w:hAnsi="Times New Roman"/>
        </w:rPr>
        <w:t xml:space="preserve">Shenzhen Huang Peiyu and Wang Peng infringed ZTE Corporation's 5G trade secret crime, Shenzhen Nanshan District People's Court, Guangdong Provincial Procuratorate handled a typical case of combating intellectual property infringement crime according to law. </w:t>
      </w:r>
    </w:p>
  </w:footnote>
  <w:footnote w:id="23">
    <w:p w14:paraId="0EE781E5" w14:textId="06DB8C67" w:rsidR="00BC5793" w:rsidRPr="000F7ED8" w:rsidRDefault="00BC5793">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w:t>
      </w:r>
      <w:r w:rsidR="00813EEA" w:rsidRPr="000F7ED8">
        <w:rPr>
          <w:rFonts w:ascii="Times New Roman" w:hAnsi="Times New Roman"/>
        </w:rPr>
        <w:t xml:space="preserve">See Kefeng Zhao and Anbi Xu, "Between Full Ideal and Bony Reality: The Preservation of Conduct in Trade Secret Infringement Litigation". </w:t>
      </w:r>
    </w:p>
  </w:footnote>
  <w:footnote w:id="24">
    <w:p w14:paraId="339511AC" w14:textId="46F525A2" w:rsidR="00813EEA" w:rsidRPr="000F7ED8" w:rsidRDefault="005E52F5" w:rsidP="00813EEA">
      <w:pPr>
        <w:pStyle w:val="af1"/>
        <w:rPr>
          <w:rFonts w:ascii="Times New Roman" w:hAnsi="Times New Roman"/>
        </w:rPr>
      </w:pPr>
      <w:r w:rsidRPr="000F7ED8">
        <w:rPr>
          <w:rStyle w:val="af3"/>
          <w:rFonts w:ascii="Times New Roman" w:hAnsi="Times New Roman"/>
        </w:rPr>
        <w:footnoteRef/>
      </w:r>
      <w:r w:rsidRPr="000F7ED8">
        <w:rPr>
          <w:rFonts w:ascii="Times New Roman" w:hAnsi="Times New Roman"/>
        </w:rPr>
        <w:t xml:space="preserve"> </w:t>
      </w:r>
      <w:r w:rsidR="00813EEA" w:rsidRPr="000F7ED8">
        <w:rPr>
          <w:rFonts w:ascii="Times New Roman" w:hAnsi="Times New Roman"/>
        </w:rPr>
        <w:t>Anti-Unfair Competition Law (2019) Article 32: In civil trial proceedings for infringement of trade secrets, where the trade secret right holder provides prima facie evidence that it has taken measures to keep the claimed trade secret confidential and that it reasonably indicates that the trade secret has been infringed, the suspected infringer shall prove that the trade secret claimed by the right holder is not a trade secret under this Law.</w:t>
      </w:r>
    </w:p>
    <w:p w14:paraId="78D3CE5F" w14:textId="77777777" w:rsidR="00813EEA" w:rsidRPr="000F7ED8" w:rsidRDefault="00813EEA" w:rsidP="00813EEA">
      <w:pPr>
        <w:pStyle w:val="af1"/>
        <w:rPr>
          <w:rFonts w:ascii="Times New Roman" w:hAnsi="Times New Roman"/>
        </w:rPr>
      </w:pPr>
      <w:r w:rsidRPr="000F7ED8">
        <w:rPr>
          <w:rFonts w:ascii="Times New Roman" w:hAnsi="Times New Roman"/>
        </w:rPr>
        <w:t>If the trade secret right holder provides prima facie evidence reasonably indicating that the trade secret has been infringed, and provides one of the following evidence, the alleged infringer shall prove that there is no infringement of trade secret.</w:t>
      </w:r>
    </w:p>
    <w:p w14:paraId="70A0F903" w14:textId="77777777" w:rsidR="00813EEA" w:rsidRPr="000F7ED8" w:rsidRDefault="00813EEA" w:rsidP="00813EEA">
      <w:pPr>
        <w:pStyle w:val="af1"/>
        <w:rPr>
          <w:rFonts w:ascii="Times New Roman" w:hAnsi="Times New Roman"/>
        </w:rPr>
      </w:pPr>
      <w:r w:rsidRPr="000F7ED8">
        <w:rPr>
          <w:rFonts w:ascii="Times New Roman" w:hAnsi="Times New Roman"/>
        </w:rPr>
        <w:t>(i) Evidence that the alleged infringer has access to or opportunity to obtain a trade secret and that he or she is using information that is substantially the same as the trade secret.</w:t>
      </w:r>
    </w:p>
    <w:p w14:paraId="6A7DD482" w14:textId="77777777" w:rsidR="00813EEA" w:rsidRPr="000F7ED8" w:rsidRDefault="00813EEA" w:rsidP="00813EEA">
      <w:pPr>
        <w:pStyle w:val="af1"/>
        <w:rPr>
          <w:rFonts w:ascii="Times New Roman" w:hAnsi="Times New Roman"/>
        </w:rPr>
      </w:pPr>
      <w:r w:rsidRPr="000F7ED8">
        <w:rPr>
          <w:rFonts w:ascii="Times New Roman" w:hAnsi="Times New Roman"/>
        </w:rPr>
        <w:t>(ii) Evidence that the trade secret has been disclosed, used or is at risk of being disclosed or used by the alleged infringer.</w:t>
      </w:r>
    </w:p>
    <w:p w14:paraId="1CBA6B61" w14:textId="7589FB7E" w:rsidR="005E52F5" w:rsidRPr="000F7ED8" w:rsidRDefault="00813EEA" w:rsidP="00813EEA">
      <w:pPr>
        <w:pStyle w:val="af1"/>
        <w:rPr>
          <w:rFonts w:ascii="Times New Roman" w:hAnsi="Times New Roman"/>
        </w:rPr>
      </w:pPr>
      <w:r w:rsidRPr="000F7ED8">
        <w:rPr>
          <w:rFonts w:ascii="Times New Roman" w:hAnsi="Times New Roman"/>
        </w:rPr>
        <w:t xml:space="preserve">(iii) There is other evidence of infringement of trade secrets by the alleged infringer.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4E7512" w14:textId="6B8B2EF2" w:rsidR="00DE7E2A" w:rsidRPr="00CB1933" w:rsidRDefault="00DE7E2A" w:rsidP="0070373F">
    <w:pPr>
      <w:pStyle w:val="Normal"/>
      <w:tabs>
        <w:tab w:val="left" w:pos="5546"/>
      </w:tabs>
      <w:spacing w:line="280" w:lineRule="exact"/>
      <w:rPr>
        <w:b/>
        <w:bCs/>
        <w:color w:val="AD1F64"/>
        <w:spacing w:val="20"/>
        <w:position w:val="2"/>
        <w:sz w:val="20"/>
        <w:szCs w:val="20"/>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5AF1"/>
    <w:multiLevelType w:val="hybridMultilevel"/>
    <w:tmpl w:val="C3DC7FDC"/>
    <w:lvl w:ilvl="0" w:tplc="9BA6BA88">
      <w:start w:val="1"/>
      <w:numFmt w:val="decimal"/>
      <w:lvlText w:val="(%1)"/>
      <w:lvlJc w:val="left"/>
    </w:lvl>
    <w:lvl w:ilvl="1" w:tplc="A5729330">
      <w:numFmt w:val="decimal"/>
      <w:lvlText w:val=""/>
      <w:lvlJc w:val="left"/>
    </w:lvl>
    <w:lvl w:ilvl="2" w:tplc="0FA0C640">
      <w:numFmt w:val="decimal"/>
      <w:lvlText w:val=""/>
      <w:lvlJc w:val="left"/>
    </w:lvl>
    <w:lvl w:ilvl="3" w:tplc="3C76C9A0">
      <w:numFmt w:val="decimal"/>
      <w:lvlText w:val=""/>
      <w:lvlJc w:val="left"/>
    </w:lvl>
    <w:lvl w:ilvl="4" w:tplc="8C426288">
      <w:numFmt w:val="decimal"/>
      <w:lvlText w:val=""/>
      <w:lvlJc w:val="left"/>
    </w:lvl>
    <w:lvl w:ilvl="5" w:tplc="8E5A9610">
      <w:numFmt w:val="decimal"/>
      <w:lvlText w:val=""/>
      <w:lvlJc w:val="left"/>
    </w:lvl>
    <w:lvl w:ilvl="6" w:tplc="8E9EE46C">
      <w:numFmt w:val="decimal"/>
      <w:lvlText w:val=""/>
      <w:lvlJc w:val="left"/>
    </w:lvl>
    <w:lvl w:ilvl="7" w:tplc="A5D8F4CC">
      <w:numFmt w:val="decimal"/>
      <w:lvlText w:val=""/>
      <w:lvlJc w:val="left"/>
    </w:lvl>
    <w:lvl w:ilvl="8" w:tplc="E9C4C3DA">
      <w:numFmt w:val="decimal"/>
      <w:lvlText w:val=""/>
      <w:lvlJc w:val="left"/>
    </w:lvl>
  </w:abstractNum>
  <w:abstractNum w:abstractNumId="1" w15:restartNumberingAfterBreak="0">
    <w:nsid w:val="03BB4E23"/>
    <w:multiLevelType w:val="hybridMultilevel"/>
    <w:tmpl w:val="E86283A2"/>
    <w:lvl w:ilvl="0" w:tplc="6E88DB84">
      <w:start w:val="1"/>
      <w:numFmt w:val="decimal"/>
      <w:suff w:val="space"/>
      <w:lvlText w:val="(%1)"/>
      <w:lvlJc w:val="left"/>
      <w:pPr>
        <w:ind w:left="476" w:hanging="30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70E486F"/>
    <w:multiLevelType w:val="hybridMultilevel"/>
    <w:tmpl w:val="E86283A2"/>
    <w:lvl w:ilvl="0" w:tplc="6E88DB84">
      <w:start w:val="1"/>
      <w:numFmt w:val="decimal"/>
      <w:suff w:val="space"/>
      <w:lvlText w:val="(%1)"/>
      <w:lvlJc w:val="left"/>
      <w:pPr>
        <w:ind w:left="476" w:hanging="30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1AD55B4"/>
    <w:multiLevelType w:val="hybridMultilevel"/>
    <w:tmpl w:val="67849FA4"/>
    <w:lvl w:ilvl="0" w:tplc="072C73C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F9F4621"/>
    <w:multiLevelType w:val="hybridMultilevel"/>
    <w:tmpl w:val="797E32F0"/>
    <w:lvl w:ilvl="0" w:tplc="389C4294">
      <w:start w:val="1"/>
      <w:numFmt w:val="decimal"/>
      <w:lvlText w:val="1.%1"/>
      <w:lvlJc w:val="left"/>
      <w:pPr>
        <w:ind w:left="420" w:hanging="420"/>
      </w:pPr>
      <w:rPr>
        <w:rFonts w:hint="default"/>
      </w:rPr>
    </w:lvl>
    <w:lvl w:ilvl="1" w:tplc="20362090">
      <w:start w:val="1"/>
      <w:numFmt w:val="decimal"/>
      <w:lvlText w:val="1.%2"/>
      <w:lvlJc w:val="left"/>
      <w:pPr>
        <w:ind w:left="357" w:hanging="357"/>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82B3F94"/>
    <w:multiLevelType w:val="multilevel"/>
    <w:tmpl w:val="604A8D00"/>
    <w:lvl w:ilvl="0">
      <w:start w:val="1"/>
      <w:numFmt w:val="decimal"/>
      <w:lvlText w:val="%1"/>
      <w:lvlJc w:val="left"/>
      <w:pPr>
        <w:ind w:left="360" w:hanging="360"/>
      </w:pPr>
      <w:rPr>
        <w:rFonts w:hint="default"/>
      </w:rPr>
    </w:lvl>
    <w:lvl w:ilvl="1">
      <w:start w:val="1"/>
      <w:numFmt w:val="decimal"/>
      <w:pStyle w:val="a"/>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30CE7ABE"/>
    <w:multiLevelType w:val="hybridMultilevel"/>
    <w:tmpl w:val="BC72057C"/>
    <w:lvl w:ilvl="0" w:tplc="67F6B7B8">
      <w:start w:val="1"/>
      <w:numFmt w:val="decimal"/>
      <w:lvlText w:val="2.%1"/>
      <w:lvlJc w:val="left"/>
      <w:pPr>
        <w:ind w:left="357" w:hanging="357"/>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6DC62DC"/>
    <w:multiLevelType w:val="hybridMultilevel"/>
    <w:tmpl w:val="B25271E4"/>
    <w:lvl w:ilvl="0" w:tplc="F46A075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3A8417CD"/>
    <w:multiLevelType w:val="hybridMultilevel"/>
    <w:tmpl w:val="E86283A2"/>
    <w:lvl w:ilvl="0" w:tplc="6E88DB84">
      <w:start w:val="1"/>
      <w:numFmt w:val="decimal"/>
      <w:suff w:val="space"/>
      <w:lvlText w:val="(%1)"/>
      <w:lvlJc w:val="left"/>
      <w:pPr>
        <w:ind w:left="476" w:hanging="30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B2661A1"/>
    <w:multiLevelType w:val="hybridMultilevel"/>
    <w:tmpl w:val="33C2E1D8"/>
    <w:lvl w:ilvl="0" w:tplc="0409000F">
      <w:start w:val="1"/>
      <w:numFmt w:val="decimal"/>
      <w:lvlText w:val="%1."/>
      <w:lvlJc w:val="left"/>
      <w:pPr>
        <w:ind w:left="4020" w:hanging="420"/>
      </w:pPr>
    </w:lvl>
    <w:lvl w:ilvl="1" w:tplc="04090019" w:tentative="1">
      <w:start w:val="1"/>
      <w:numFmt w:val="lowerLetter"/>
      <w:lvlText w:val="%2)"/>
      <w:lvlJc w:val="left"/>
      <w:pPr>
        <w:ind w:left="4440" w:hanging="420"/>
      </w:pPr>
    </w:lvl>
    <w:lvl w:ilvl="2" w:tplc="0409001B" w:tentative="1">
      <w:start w:val="1"/>
      <w:numFmt w:val="lowerRoman"/>
      <w:lvlText w:val="%3."/>
      <w:lvlJc w:val="right"/>
      <w:pPr>
        <w:ind w:left="4860" w:hanging="420"/>
      </w:pPr>
    </w:lvl>
    <w:lvl w:ilvl="3" w:tplc="0409000F" w:tentative="1">
      <w:start w:val="1"/>
      <w:numFmt w:val="decimal"/>
      <w:lvlText w:val="%4."/>
      <w:lvlJc w:val="left"/>
      <w:pPr>
        <w:ind w:left="5280" w:hanging="420"/>
      </w:pPr>
    </w:lvl>
    <w:lvl w:ilvl="4" w:tplc="04090019" w:tentative="1">
      <w:start w:val="1"/>
      <w:numFmt w:val="lowerLetter"/>
      <w:lvlText w:val="%5)"/>
      <w:lvlJc w:val="left"/>
      <w:pPr>
        <w:ind w:left="5700" w:hanging="420"/>
      </w:pPr>
    </w:lvl>
    <w:lvl w:ilvl="5" w:tplc="0409001B" w:tentative="1">
      <w:start w:val="1"/>
      <w:numFmt w:val="lowerRoman"/>
      <w:lvlText w:val="%6."/>
      <w:lvlJc w:val="right"/>
      <w:pPr>
        <w:ind w:left="6120" w:hanging="420"/>
      </w:pPr>
    </w:lvl>
    <w:lvl w:ilvl="6" w:tplc="0409000F" w:tentative="1">
      <w:start w:val="1"/>
      <w:numFmt w:val="decimal"/>
      <w:lvlText w:val="%7."/>
      <w:lvlJc w:val="left"/>
      <w:pPr>
        <w:ind w:left="6540" w:hanging="420"/>
      </w:pPr>
    </w:lvl>
    <w:lvl w:ilvl="7" w:tplc="04090019" w:tentative="1">
      <w:start w:val="1"/>
      <w:numFmt w:val="lowerLetter"/>
      <w:lvlText w:val="%8)"/>
      <w:lvlJc w:val="left"/>
      <w:pPr>
        <w:ind w:left="6960" w:hanging="420"/>
      </w:pPr>
    </w:lvl>
    <w:lvl w:ilvl="8" w:tplc="0409001B" w:tentative="1">
      <w:start w:val="1"/>
      <w:numFmt w:val="lowerRoman"/>
      <w:lvlText w:val="%9."/>
      <w:lvlJc w:val="right"/>
      <w:pPr>
        <w:ind w:left="7380" w:hanging="420"/>
      </w:pPr>
    </w:lvl>
  </w:abstractNum>
  <w:abstractNum w:abstractNumId="10" w15:restartNumberingAfterBreak="0">
    <w:nsid w:val="3C0A03B8"/>
    <w:multiLevelType w:val="hybridMultilevel"/>
    <w:tmpl w:val="26E45C22"/>
    <w:lvl w:ilvl="0" w:tplc="2E1C3A40">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4930225"/>
    <w:multiLevelType w:val="hybridMultilevel"/>
    <w:tmpl w:val="D3A28A06"/>
    <w:lvl w:ilvl="0" w:tplc="8598B8E6">
      <w:start w:val="1"/>
      <w:numFmt w:val="decimal"/>
      <w:lvlText w:val="6.%1"/>
      <w:lvlJc w:val="left"/>
      <w:pPr>
        <w:ind w:left="357" w:hanging="357"/>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7AE13F7"/>
    <w:multiLevelType w:val="hybridMultilevel"/>
    <w:tmpl w:val="2982C8F8"/>
    <w:lvl w:ilvl="0" w:tplc="43DA70FC">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54017FC8"/>
    <w:multiLevelType w:val="multilevel"/>
    <w:tmpl w:val="A58696DE"/>
    <w:lvl w:ilvl="0">
      <w:start w:val="1"/>
      <w:numFmt w:val="decimal"/>
      <w:lvlText w:val="%1."/>
      <w:lvlJc w:val="left"/>
      <w:pPr>
        <w:ind w:left="360" w:hanging="360"/>
      </w:pPr>
      <w:rPr>
        <w:rFonts w:hint="default"/>
      </w:rPr>
    </w:lvl>
    <w:lvl w:ilvl="1">
      <w:start w:val="20"/>
      <w:numFmt w:val="decimal"/>
      <w:isLgl/>
      <w:lvlText w:val="%1.%2"/>
      <w:lvlJc w:val="left"/>
      <w:pPr>
        <w:ind w:left="408" w:hanging="408"/>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4" w15:restartNumberingAfterBreak="0">
    <w:nsid w:val="549E73B2"/>
    <w:multiLevelType w:val="hybridMultilevel"/>
    <w:tmpl w:val="381E56EC"/>
    <w:lvl w:ilvl="0" w:tplc="37A2C0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F86670F"/>
    <w:multiLevelType w:val="hybridMultilevel"/>
    <w:tmpl w:val="CEFAE4C2"/>
    <w:lvl w:ilvl="0" w:tplc="F46A0758">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6" w15:restartNumberingAfterBreak="0">
    <w:nsid w:val="61263F41"/>
    <w:multiLevelType w:val="hybridMultilevel"/>
    <w:tmpl w:val="A378B678"/>
    <w:lvl w:ilvl="0" w:tplc="43DA70FC">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636C7E43"/>
    <w:multiLevelType w:val="hybridMultilevel"/>
    <w:tmpl w:val="5890E19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4111E80"/>
    <w:multiLevelType w:val="hybridMultilevel"/>
    <w:tmpl w:val="2BD604AC"/>
    <w:lvl w:ilvl="0" w:tplc="18024D62">
      <w:start w:val="200"/>
      <w:numFmt w:val="bullet"/>
      <w:lvlText w:val="-"/>
      <w:lvlJc w:val="left"/>
      <w:pPr>
        <w:ind w:left="720" w:hanging="360"/>
      </w:pPr>
      <w:rPr>
        <w:rFonts w:ascii="Times New Roman" w:eastAsia="宋体"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E42F79"/>
    <w:multiLevelType w:val="hybridMultilevel"/>
    <w:tmpl w:val="DD50D894"/>
    <w:lvl w:ilvl="0" w:tplc="5380CD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67393EE8"/>
    <w:multiLevelType w:val="multilevel"/>
    <w:tmpl w:val="3F3E7996"/>
    <w:lvl w:ilvl="0">
      <w:start w:val="1"/>
      <w:numFmt w:val="decimal"/>
      <w:lvlText w:val="%1."/>
      <w:lvlJc w:val="left"/>
      <w:pPr>
        <w:ind w:left="357" w:hanging="357"/>
      </w:pPr>
      <w:rPr>
        <w:rFonts w:hint="eastAsia"/>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1" w15:restartNumberingAfterBreak="0">
    <w:nsid w:val="6D6C2661"/>
    <w:multiLevelType w:val="hybridMultilevel"/>
    <w:tmpl w:val="E86283A2"/>
    <w:lvl w:ilvl="0" w:tplc="6E88DB84">
      <w:start w:val="1"/>
      <w:numFmt w:val="decimal"/>
      <w:suff w:val="space"/>
      <w:lvlText w:val="(%1)"/>
      <w:lvlJc w:val="left"/>
      <w:pPr>
        <w:ind w:left="476" w:hanging="30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3555F73"/>
    <w:multiLevelType w:val="hybridMultilevel"/>
    <w:tmpl w:val="5B56628A"/>
    <w:lvl w:ilvl="0" w:tplc="0F405F02">
      <w:start w:val="1"/>
      <w:numFmt w:val="decimal"/>
      <w:lvlText w:val="5.%1"/>
      <w:lvlJc w:val="left"/>
      <w:pPr>
        <w:ind w:left="357" w:hanging="357"/>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7672379D"/>
    <w:multiLevelType w:val="hybridMultilevel"/>
    <w:tmpl w:val="E86283A2"/>
    <w:lvl w:ilvl="0" w:tplc="6E88DB84">
      <w:start w:val="1"/>
      <w:numFmt w:val="decimal"/>
      <w:suff w:val="space"/>
      <w:lvlText w:val="(%1)"/>
      <w:lvlJc w:val="left"/>
      <w:pPr>
        <w:ind w:left="476" w:hanging="30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7B566CDC"/>
    <w:multiLevelType w:val="hybridMultilevel"/>
    <w:tmpl w:val="7978620C"/>
    <w:lvl w:ilvl="0" w:tplc="D67E4A3E">
      <w:start w:val="1"/>
      <w:numFmt w:val="decimal"/>
      <w:lvlText w:val="4.%1"/>
      <w:lvlJc w:val="left"/>
      <w:pPr>
        <w:ind w:left="357" w:hanging="357"/>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7E7C4154"/>
    <w:multiLevelType w:val="hybridMultilevel"/>
    <w:tmpl w:val="8D86CE46"/>
    <w:lvl w:ilvl="0" w:tplc="3454FE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EB073E5"/>
    <w:multiLevelType w:val="hybridMultilevel"/>
    <w:tmpl w:val="45AE7006"/>
    <w:lvl w:ilvl="0" w:tplc="CC767EA6">
      <w:start w:val="1"/>
      <w:numFmt w:val="decimal"/>
      <w:lvlText w:val="3.%1"/>
      <w:lvlJc w:val="left"/>
      <w:pPr>
        <w:ind w:left="357" w:hanging="357"/>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8"/>
  </w:num>
  <w:num w:numId="2">
    <w:abstractNumId w:val="7"/>
  </w:num>
  <w:num w:numId="3">
    <w:abstractNumId w:val="17"/>
  </w:num>
  <w:num w:numId="4">
    <w:abstractNumId w:val="15"/>
  </w:num>
  <w:num w:numId="5">
    <w:abstractNumId w:val="9"/>
  </w:num>
  <w:num w:numId="6">
    <w:abstractNumId w:val="5"/>
  </w:num>
  <w:num w:numId="7">
    <w:abstractNumId w:val="13"/>
  </w:num>
  <w:num w:numId="8">
    <w:abstractNumId w:val="0"/>
  </w:num>
  <w:num w:numId="9">
    <w:abstractNumId w:val="12"/>
  </w:num>
  <w:num w:numId="10">
    <w:abstractNumId w:val="16"/>
  </w:num>
  <w:num w:numId="11">
    <w:abstractNumId w:val="20"/>
  </w:num>
  <w:num w:numId="12">
    <w:abstractNumId w:val="4"/>
  </w:num>
  <w:num w:numId="13">
    <w:abstractNumId w:val="6"/>
  </w:num>
  <w:num w:numId="14">
    <w:abstractNumId w:val="26"/>
  </w:num>
  <w:num w:numId="15">
    <w:abstractNumId w:val="24"/>
  </w:num>
  <w:num w:numId="16">
    <w:abstractNumId w:val="22"/>
  </w:num>
  <w:num w:numId="17">
    <w:abstractNumId w:val="11"/>
  </w:num>
  <w:num w:numId="18">
    <w:abstractNumId w:val="23"/>
  </w:num>
  <w:num w:numId="19">
    <w:abstractNumId w:val="2"/>
  </w:num>
  <w:num w:numId="20">
    <w:abstractNumId w:val="1"/>
  </w:num>
  <w:num w:numId="21">
    <w:abstractNumId w:val="8"/>
  </w:num>
  <w:num w:numId="22">
    <w:abstractNumId w:val="21"/>
  </w:num>
  <w:num w:numId="23">
    <w:abstractNumId w:val="10"/>
  </w:num>
  <w:num w:numId="24">
    <w:abstractNumId w:val="3"/>
  </w:num>
  <w:num w:numId="25">
    <w:abstractNumId w:val="25"/>
  </w:num>
  <w:num w:numId="26">
    <w:abstractNumId w:val="14"/>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jA1MDO2MDc1tbSwMDRT0lEKTi0uzszPAykwrgUANS/NAywAAAA="/>
  </w:docVars>
  <w:rsids>
    <w:rsidRoot w:val="007A2D93"/>
    <w:rsid w:val="000014B5"/>
    <w:rsid w:val="00004BBA"/>
    <w:rsid w:val="00006E04"/>
    <w:rsid w:val="00007E35"/>
    <w:rsid w:val="000101B7"/>
    <w:rsid w:val="00011C02"/>
    <w:rsid w:val="00013E8A"/>
    <w:rsid w:val="00021E4E"/>
    <w:rsid w:val="0002332E"/>
    <w:rsid w:val="00027B47"/>
    <w:rsid w:val="00032E0E"/>
    <w:rsid w:val="00036D7C"/>
    <w:rsid w:val="0004413B"/>
    <w:rsid w:val="00044CC8"/>
    <w:rsid w:val="0004528F"/>
    <w:rsid w:val="000519AE"/>
    <w:rsid w:val="0005270E"/>
    <w:rsid w:val="00053A28"/>
    <w:rsid w:val="00060FC4"/>
    <w:rsid w:val="00061461"/>
    <w:rsid w:val="00062B9B"/>
    <w:rsid w:val="000630C7"/>
    <w:rsid w:val="000645DE"/>
    <w:rsid w:val="000646B2"/>
    <w:rsid w:val="00065D65"/>
    <w:rsid w:val="00066421"/>
    <w:rsid w:val="00075CE1"/>
    <w:rsid w:val="00076E21"/>
    <w:rsid w:val="00086CA3"/>
    <w:rsid w:val="000878B8"/>
    <w:rsid w:val="000879AC"/>
    <w:rsid w:val="00097912"/>
    <w:rsid w:val="000A1BD0"/>
    <w:rsid w:val="000A474E"/>
    <w:rsid w:val="000A5AA4"/>
    <w:rsid w:val="000A64AD"/>
    <w:rsid w:val="000B0CA7"/>
    <w:rsid w:val="000B1C5F"/>
    <w:rsid w:val="000B4AED"/>
    <w:rsid w:val="000B5F6A"/>
    <w:rsid w:val="000C609F"/>
    <w:rsid w:val="000C66BE"/>
    <w:rsid w:val="000D027D"/>
    <w:rsid w:val="000E2A25"/>
    <w:rsid w:val="000E34D8"/>
    <w:rsid w:val="000E42BB"/>
    <w:rsid w:val="000E55B8"/>
    <w:rsid w:val="000F06F9"/>
    <w:rsid w:val="000F151D"/>
    <w:rsid w:val="000F3B0A"/>
    <w:rsid w:val="000F4FBC"/>
    <w:rsid w:val="000F6874"/>
    <w:rsid w:val="000F7ED8"/>
    <w:rsid w:val="00100DC2"/>
    <w:rsid w:val="00102A17"/>
    <w:rsid w:val="00107B22"/>
    <w:rsid w:val="00110993"/>
    <w:rsid w:val="00115882"/>
    <w:rsid w:val="00115D48"/>
    <w:rsid w:val="00116FAF"/>
    <w:rsid w:val="0012016B"/>
    <w:rsid w:val="001255E2"/>
    <w:rsid w:val="00126472"/>
    <w:rsid w:val="001304DF"/>
    <w:rsid w:val="0013270F"/>
    <w:rsid w:val="00132E40"/>
    <w:rsid w:val="001330C0"/>
    <w:rsid w:val="001334F6"/>
    <w:rsid w:val="001444D9"/>
    <w:rsid w:val="0014620B"/>
    <w:rsid w:val="001504D2"/>
    <w:rsid w:val="00150D0C"/>
    <w:rsid w:val="00151B26"/>
    <w:rsid w:val="00152594"/>
    <w:rsid w:val="001532AC"/>
    <w:rsid w:val="00154FDA"/>
    <w:rsid w:val="001568F2"/>
    <w:rsid w:val="00156FB5"/>
    <w:rsid w:val="001576DC"/>
    <w:rsid w:val="00157D13"/>
    <w:rsid w:val="001624CA"/>
    <w:rsid w:val="00162CD5"/>
    <w:rsid w:val="00163097"/>
    <w:rsid w:val="00170C3A"/>
    <w:rsid w:val="00170F84"/>
    <w:rsid w:val="0017225E"/>
    <w:rsid w:val="001736E0"/>
    <w:rsid w:val="00176DB0"/>
    <w:rsid w:val="00180831"/>
    <w:rsid w:val="00182BDB"/>
    <w:rsid w:val="001909BE"/>
    <w:rsid w:val="00190E6C"/>
    <w:rsid w:val="00192E18"/>
    <w:rsid w:val="00197FC7"/>
    <w:rsid w:val="001B37E9"/>
    <w:rsid w:val="001B49DF"/>
    <w:rsid w:val="001B69B1"/>
    <w:rsid w:val="001C052C"/>
    <w:rsid w:val="001C1114"/>
    <w:rsid w:val="001C2856"/>
    <w:rsid w:val="001C40CE"/>
    <w:rsid w:val="001C48AA"/>
    <w:rsid w:val="001C4A95"/>
    <w:rsid w:val="001C56B4"/>
    <w:rsid w:val="001C6707"/>
    <w:rsid w:val="001C774B"/>
    <w:rsid w:val="001C7DCC"/>
    <w:rsid w:val="001D0A66"/>
    <w:rsid w:val="001D2E2E"/>
    <w:rsid w:val="001D6496"/>
    <w:rsid w:val="001D743F"/>
    <w:rsid w:val="001E0476"/>
    <w:rsid w:val="001E0EC3"/>
    <w:rsid w:val="001E111B"/>
    <w:rsid w:val="001E1FCC"/>
    <w:rsid w:val="001F4BC4"/>
    <w:rsid w:val="00207819"/>
    <w:rsid w:val="00207CD6"/>
    <w:rsid w:val="002104A7"/>
    <w:rsid w:val="00214432"/>
    <w:rsid w:val="002202D5"/>
    <w:rsid w:val="00220982"/>
    <w:rsid w:val="002228ED"/>
    <w:rsid w:val="002235C7"/>
    <w:rsid w:val="0022456D"/>
    <w:rsid w:val="00225369"/>
    <w:rsid w:val="00225D2B"/>
    <w:rsid w:val="002260AD"/>
    <w:rsid w:val="00227264"/>
    <w:rsid w:val="00233E93"/>
    <w:rsid w:val="00234871"/>
    <w:rsid w:val="00235E83"/>
    <w:rsid w:val="00240E7D"/>
    <w:rsid w:val="00241812"/>
    <w:rsid w:val="00242B0D"/>
    <w:rsid w:val="00245BE3"/>
    <w:rsid w:val="00246C26"/>
    <w:rsid w:val="00250B16"/>
    <w:rsid w:val="00252183"/>
    <w:rsid w:val="002522E8"/>
    <w:rsid w:val="0025337E"/>
    <w:rsid w:val="00255A31"/>
    <w:rsid w:val="0025620C"/>
    <w:rsid w:val="002608B8"/>
    <w:rsid w:val="00265182"/>
    <w:rsid w:val="00271A5C"/>
    <w:rsid w:val="00271DD7"/>
    <w:rsid w:val="00272B81"/>
    <w:rsid w:val="00274AAF"/>
    <w:rsid w:val="00275E90"/>
    <w:rsid w:val="0028351D"/>
    <w:rsid w:val="002836C6"/>
    <w:rsid w:val="00284CF3"/>
    <w:rsid w:val="00284FDB"/>
    <w:rsid w:val="002867CA"/>
    <w:rsid w:val="00286A74"/>
    <w:rsid w:val="00290439"/>
    <w:rsid w:val="002908EC"/>
    <w:rsid w:val="00293FB4"/>
    <w:rsid w:val="00295AAC"/>
    <w:rsid w:val="002A5E8B"/>
    <w:rsid w:val="002B00AE"/>
    <w:rsid w:val="002B08ED"/>
    <w:rsid w:val="002B1123"/>
    <w:rsid w:val="002B4EC0"/>
    <w:rsid w:val="002B5FC1"/>
    <w:rsid w:val="002B62B6"/>
    <w:rsid w:val="002B6A14"/>
    <w:rsid w:val="002C21F5"/>
    <w:rsid w:val="002C375B"/>
    <w:rsid w:val="002C5A09"/>
    <w:rsid w:val="002C6622"/>
    <w:rsid w:val="002C73FF"/>
    <w:rsid w:val="002C7A6E"/>
    <w:rsid w:val="002D34B0"/>
    <w:rsid w:val="002D37C7"/>
    <w:rsid w:val="002D6D8F"/>
    <w:rsid w:val="002E0A07"/>
    <w:rsid w:val="002E4D12"/>
    <w:rsid w:val="002E6799"/>
    <w:rsid w:val="002E6FF0"/>
    <w:rsid w:val="002F66DB"/>
    <w:rsid w:val="002F7E11"/>
    <w:rsid w:val="003004D6"/>
    <w:rsid w:val="00306697"/>
    <w:rsid w:val="00307F23"/>
    <w:rsid w:val="00311819"/>
    <w:rsid w:val="00311AA0"/>
    <w:rsid w:val="00312854"/>
    <w:rsid w:val="00312BA0"/>
    <w:rsid w:val="003135A6"/>
    <w:rsid w:val="003148FE"/>
    <w:rsid w:val="003156D1"/>
    <w:rsid w:val="00316EBE"/>
    <w:rsid w:val="003240C6"/>
    <w:rsid w:val="0032498C"/>
    <w:rsid w:val="00324F5A"/>
    <w:rsid w:val="003278AF"/>
    <w:rsid w:val="00330A95"/>
    <w:rsid w:val="003319CB"/>
    <w:rsid w:val="003339A8"/>
    <w:rsid w:val="00340843"/>
    <w:rsid w:val="00343278"/>
    <w:rsid w:val="00344096"/>
    <w:rsid w:val="00346D44"/>
    <w:rsid w:val="00351C0A"/>
    <w:rsid w:val="003540D7"/>
    <w:rsid w:val="003544F4"/>
    <w:rsid w:val="00356567"/>
    <w:rsid w:val="00356E85"/>
    <w:rsid w:val="00360EC8"/>
    <w:rsid w:val="003623C3"/>
    <w:rsid w:val="00364579"/>
    <w:rsid w:val="00364672"/>
    <w:rsid w:val="00366EC8"/>
    <w:rsid w:val="00367949"/>
    <w:rsid w:val="00370216"/>
    <w:rsid w:val="003734C2"/>
    <w:rsid w:val="00380966"/>
    <w:rsid w:val="00385629"/>
    <w:rsid w:val="00386661"/>
    <w:rsid w:val="00387916"/>
    <w:rsid w:val="003928AF"/>
    <w:rsid w:val="00392A69"/>
    <w:rsid w:val="00395530"/>
    <w:rsid w:val="003A14DC"/>
    <w:rsid w:val="003A15D6"/>
    <w:rsid w:val="003A3FEA"/>
    <w:rsid w:val="003A56CF"/>
    <w:rsid w:val="003A62C7"/>
    <w:rsid w:val="003A7169"/>
    <w:rsid w:val="003B06A5"/>
    <w:rsid w:val="003B150D"/>
    <w:rsid w:val="003B4720"/>
    <w:rsid w:val="003B5056"/>
    <w:rsid w:val="003C074D"/>
    <w:rsid w:val="003C1C4E"/>
    <w:rsid w:val="003C302C"/>
    <w:rsid w:val="003C7581"/>
    <w:rsid w:val="003D1906"/>
    <w:rsid w:val="003D2C03"/>
    <w:rsid w:val="003E31FA"/>
    <w:rsid w:val="003E3738"/>
    <w:rsid w:val="003F17C7"/>
    <w:rsid w:val="003F4531"/>
    <w:rsid w:val="003F46E8"/>
    <w:rsid w:val="003F7344"/>
    <w:rsid w:val="003F77A0"/>
    <w:rsid w:val="00407D71"/>
    <w:rsid w:val="0041023F"/>
    <w:rsid w:val="00410C29"/>
    <w:rsid w:val="0041315A"/>
    <w:rsid w:val="004168E0"/>
    <w:rsid w:val="00420009"/>
    <w:rsid w:val="00421EC7"/>
    <w:rsid w:val="00424BC7"/>
    <w:rsid w:val="004273B4"/>
    <w:rsid w:val="00430AE6"/>
    <w:rsid w:val="00432142"/>
    <w:rsid w:val="00442E1A"/>
    <w:rsid w:val="0044464F"/>
    <w:rsid w:val="00447C99"/>
    <w:rsid w:val="0045020A"/>
    <w:rsid w:val="004513AD"/>
    <w:rsid w:val="004524B8"/>
    <w:rsid w:val="00454CAA"/>
    <w:rsid w:val="00456ECD"/>
    <w:rsid w:val="00461616"/>
    <w:rsid w:val="0046227F"/>
    <w:rsid w:val="00464C3D"/>
    <w:rsid w:val="00470105"/>
    <w:rsid w:val="004726C9"/>
    <w:rsid w:val="004733BD"/>
    <w:rsid w:val="00474D15"/>
    <w:rsid w:val="0047720B"/>
    <w:rsid w:val="00481CA7"/>
    <w:rsid w:val="004825D2"/>
    <w:rsid w:val="00491245"/>
    <w:rsid w:val="0049164D"/>
    <w:rsid w:val="00492B19"/>
    <w:rsid w:val="00494F15"/>
    <w:rsid w:val="004A5258"/>
    <w:rsid w:val="004A5635"/>
    <w:rsid w:val="004A5A01"/>
    <w:rsid w:val="004A6351"/>
    <w:rsid w:val="004B057B"/>
    <w:rsid w:val="004B2AE6"/>
    <w:rsid w:val="004B381B"/>
    <w:rsid w:val="004B5F0F"/>
    <w:rsid w:val="004C1655"/>
    <w:rsid w:val="004C26DE"/>
    <w:rsid w:val="004C2921"/>
    <w:rsid w:val="004C3C14"/>
    <w:rsid w:val="004C5191"/>
    <w:rsid w:val="004C66A7"/>
    <w:rsid w:val="004D03DD"/>
    <w:rsid w:val="004D5DC5"/>
    <w:rsid w:val="004D72D0"/>
    <w:rsid w:val="004D7748"/>
    <w:rsid w:val="004E0444"/>
    <w:rsid w:val="004E229E"/>
    <w:rsid w:val="004E4E7C"/>
    <w:rsid w:val="004E56D6"/>
    <w:rsid w:val="004E6AA4"/>
    <w:rsid w:val="004E728C"/>
    <w:rsid w:val="004E74E0"/>
    <w:rsid w:val="004E74E7"/>
    <w:rsid w:val="004F123F"/>
    <w:rsid w:val="004F4920"/>
    <w:rsid w:val="004F4D35"/>
    <w:rsid w:val="004F6715"/>
    <w:rsid w:val="004F7E80"/>
    <w:rsid w:val="00505BEB"/>
    <w:rsid w:val="00506569"/>
    <w:rsid w:val="005076CE"/>
    <w:rsid w:val="00511546"/>
    <w:rsid w:val="005126D2"/>
    <w:rsid w:val="0051440A"/>
    <w:rsid w:val="0051531A"/>
    <w:rsid w:val="005173C8"/>
    <w:rsid w:val="0052711C"/>
    <w:rsid w:val="00527CCD"/>
    <w:rsid w:val="0053344F"/>
    <w:rsid w:val="005339DC"/>
    <w:rsid w:val="00536C82"/>
    <w:rsid w:val="00553121"/>
    <w:rsid w:val="005562D9"/>
    <w:rsid w:val="00556B60"/>
    <w:rsid w:val="00557098"/>
    <w:rsid w:val="00560CA4"/>
    <w:rsid w:val="00565B0F"/>
    <w:rsid w:val="00574510"/>
    <w:rsid w:val="00583095"/>
    <w:rsid w:val="00584CFC"/>
    <w:rsid w:val="005860D8"/>
    <w:rsid w:val="0058671E"/>
    <w:rsid w:val="00587A4A"/>
    <w:rsid w:val="00593491"/>
    <w:rsid w:val="005957CD"/>
    <w:rsid w:val="00596CFE"/>
    <w:rsid w:val="00597E4A"/>
    <w:rsid w:val="005A49F9"/>
    <w:rsid w:val="005A622C"/>
    <w:rsid w:val="005B05DB"/>
    <w:rsid w:val="005B1192"/>
    <w:rsid w:val="005B2160"/>
    <w:rsid w:val="005B4434"/>
    <w:rsid w:val="005B7905"/>
    <w:rsid w:val="005C1F38"/>
    <w:rsid w:val="005C6371"/>
    <w:rsid w:val="005C67F4"/>
    <w:rsid w:val="005C684A"/>
    <w:rsid w:val="005D4569"/>
    <w:rsid w:val="005E1311"/>
    <w:rsid w:val="005E22D0"/>
    <w:rsid w:val="005E52F5"/>
    <w:rsid w:val="005E5BE9"/>
    <w:rsid w:val="005E6903"/>
    <w:rsid w:val="005F2280"/>
    <w:rsid w:val="005F2DE1"/>
    <w:rsid w:val="005F4053"/>
    <w:rsid w:val="005F670B"/>
    <w:rsid w:val="005F7930"/>
    <w:rsid w:val="00601676"/>
    <w:rsid w:val="006018DE"/>
    <w:rsid w:val="00601E2C"/>
    <w:rsid w:val="00601E65"/>
    <w:rsid w:val="00602A43"/>
    <w:rsid w:val="00604D60"/>
    <w:rsid w:val="0060760F"/>
    <w:rsid w:val="00611925"/>
    <w:rsid w:val="006124C9"/>
    <w:rsid w:val="006218DA"/>
    <w:rsid w:val="00622599"/>
    <w:rsid w:val="00622900"/>
    <w:rsid w:val="00622A56"/>
    <w:rsid w:val="00622B78"/>
    <w:rsid w:val="0062332D"/>
    <w:rsid w:val="006234F9"/>
    <w:rsid w:val="006268DE"/>
    <w:rsid w:val="00630F7A"/>
    <w:rsid w:val="00633B54"/>
    <w:rsid w:val="0064189C"/>
    <w:rsid w:val="00642BE4"/>
    <w:rsid w:val="0064516C"/>
    <w:rsid w:val="00646228"/>
    <w:rsid w:val="00646447"/>
    <w:rsid w:val="00647B3A"/>
    <w:rsid w:val="00652976"/>
    <w:rsid w:val="0065613F"/>
    <w:rsid w:val="00656E62"/>
    <w:rsid w:val="00664794"/>
    <w:rsid w:val="006651D2"/>
    <w:rsid w:val="0066775F"/>
    <w:rsid w:val="00672523"/>
    <w:rsid w:val="0067645A"/>
    <w:rsid w:val="0068133C"/>
    <w:rsid w:val="00681973"/>
    <w:rsid w:val="006820D0"/>
    <w:rsid w:val="006830DF"/>
    <w:rsid w:val="00684164"/>
    <w:rsid w:val="00684759"/>
    <w:rsid w:val="0068588B"/>
    <w:rsid w:val="00685AA6"/>
    <w:rsid w:val="006A038C"/>
    <w:rsid w:val="006A0D1F"/>
    <w:rsid w:val="006A0F03"/>
    <w:rsid w:val="006A1972"/>
    <w:rsid w:val="006A3107"/>
    <w:rsid w:val="006B49FE"/>
    <w:rsid w:val="006B4C2F"/>
    <w:rsid w:val="006B5801"/>
    <w:rsid w:val="006B6C69"/>
    <w:rsid w:val="006B7609"/>
    <w:rsid w:val="006B7CD2"/>
    <w:rsid w:val="006C0C49"/>
    <w:rsid w:val="006C11B2"/>
    <w:rsid w:val="006C1EF7"/>
    <w:rsid w:val="006C420A"/>
    <w:rsid w:val="006C6F19"/>
    <w:rsid w:val="006C7822"/>
    <w:rsid w:val="006D6DE2"/>
    <w:rsid w:val="006E1F73"/>
    <w:rsid w:val="006E2111"/>
    <w:rsid w:val="006E256A"/>
    <w:rsid w:val="006E2D0D"/>
    <w:rsid w:val="006E341A"/>
    <w:rsid w:val="006E6F25"/>
    <w:rsid w:val="006F0EF2"/>
    <w:rsid w:val="006F2E8D"/>
    <w:rsid w:val="006F3847"/>
    <w:rsid w:val="006F7EE6"/>
    <w:rsid w:val="00700517"/>
    <w:rsid w:val="0070373F"/>
    <w:rsid w:val="00716D94"/>
    <w:rsid w:val="00720ECD"/>
    <w:rsid w:val="00721BB6"/>
    <w:rsid w:val="00721D1A"/>
    <w:rsid w:val="007234A8"/>
    <w:rsid w:val="00731F57"/>
    <w:rsid w:val="0073682B"/>
    <w:rsid w:val="00750BD0"/>
    <w:rsid w:val="007562AE"/>
    <w:rsid w:val="00760318"/>
    <w:rsid w:val="00761124"/>
    <w:rsid w:val="0076485D"/>
    <w:rsid w:val="00766977"/>
    <w:rsid w:val="0076752F"/>
    <w:rsid w:val="007738B4"/>
    <w:rsid w:val="007748F3"/>
    <w:rsid w:val="00774C6C"/>
    <w:rsid w:val="00774D80"/>
    <w:rsid w:val="00780A0D"/>
    <w:rsid w:val="007810DE"/>
    <w:rsid w:val="00782C4B"/>
    <w:rsid w:val="0078449A"/>
    <w:rsid w:val="007930E9"/>
    <w:rsid w:val="007A08DC"/>
    <w:rsid w:val="007A2D93"/>
    <w:rsid w:val="007A4A55"/>
    <w:rsid w:val="007A4ED0"/>
    <w:rsid w:val="007B1576"/>
    <w:rsid w:val="007B1A05"/>
    <w:rsid w:val="007B6A58"/>
    <w:rsid w:val="007B6B05"/>
    <w:rsid w:val="007B7B8B"/>
    <w:rsid w:val="007C0536"/>
    <w:rsid w:val="007C0603"/>
    <w:rsid w:val="007C1C9D"/>
    <w:rsid w:val="007C219F"/>
    <w:rsid w:val="007C77CD"/>
    <w:rsid w:val="007D7888"/>
    <w:rsid w:val="007E2EC5"/>
    <w:rsid w:val="007E6109"/>
    <w:rsid w:val="007F0185"/>
    <w:rsid w:val="007F4CC0"/>
    <w:rsid w:val="007F5DA8"/>
    <w:rsid w:val="007F71D3"/>
    <w:rsid w:val="00804098"/>
    <w:rsid w:val="008058F5"/>
    <w:rsid w:val="00806122"/>
    <w:rsid w:val="0080746A"/>
    <w:rsid w:val="00807852"/>
    <w:rsid w:val="00813EEA"/>
    <w:rsid w:val="008208A9"/>
    <w:rsid w:val="00821C87"/>
    <w:rsid w:val="00822335"/>
    <w:rsid w:val="008254EA"/>
    <w:rsid w:val="0083208A"/>
    <w:rsid w:val="00840589"/>
    <w:rsid w:val="00840606"/>
    <w:rsid w:val="00840E88"/>
    <w:rsid w:val="00844F23"/>
    <w:rsid w:val="00845276"/>
    <w:rsid w:val="0085108D"/>
    <w:rsid w:val="0085315C"/>
    <w:rsid w:val="0085381E"/>
    <w:rsid w:val="00865465"/>
    <w:rsid w:val="0087497F"/>
    <w:rsid w:val="0087540C"/>
    <w:rsid w:val="00877369"/>
    <w:rsid w:val="00877E4A"/>
    <w:rsid w:val="008811F6"/>
    <w:rsid w:val="00891732"/>
    <w:rsid w:val="0089643E"/>
    <w:rsid w:val="008A19FA"/>
    <w:rsid w:val="008B0ACB"/>
    <w:rsid w:val="008B440E"/>
    <w:rsid w:val="008B7E45"/>
    <w:rsid w:val="008C269D"/>
    <w:rsid w:val="008C2AD4"/>
    <w:rsid w:val="008C5ABF"/>
    <w:rsid w:val="008C5AFA"/>
    <w:rsid w:val="008C5C4B"/>
    <w:rsid w:val="008C5E56"/>
    <w:rsid w:val="008C6E8C"/>
    <w:rsid w:val="008C7CEB"/>
    <w:rsid w:val="008D0A45"/>
    <w:rsid w:val="008D30FC"/>
    <w:rsid w:val="008D4CE3"/>
    <w:rsid w:val="008D7349"/>
    <w:rsid w:val="008D75E2"/>
    <w:rsid w:val="008E081E"/>
    <w:rsid w:val="008E5851"/>
    <w:rsid w:val="008E6F2D"/>
    <w:rsid w:val="008F2A08"/>
    <w:rsid w:val="008F5621"/>
    <w:rsid w:val="008F79C5"/>
    <w:rsid w:val="009111F3"/>
    <w:rsid w:val="0091182A"/>
    <w:rsid w:val="009135D3"/>
    <w:rsid w:val="00917D25"/>
    <w:rsid w:val="00921132"/>
    <w:rsid w:val="009219E4"/>
    <w:rsid w:val="00921B5F"/>
    <w:rsid w:val="00922FD1"/>
    <w:rsid w:val="00935780"/>
    <w:rsid w:val="0093635D"/>
    <w:rsid w:val="009415AF"/>
    <w:rsid w:val="009421B1"/>
    <w:rsid w:val="00942EC6"/>
    <w:rsid w:val="0094420D"/>
    <w:rsid w:val="009501E8"/>
    <w:rsid w:val="009506EB"/>
    <w:rsid w:val="009528E3"/>
    <w:rsid w:val="00953318"/>
    <w:rsid w:val="00954B85"/>
    <w:rsid w:val="0095563E"/>
    <w:rsid w:val="00960389"/>
    <w:rsid w:val="00971635"/>
    <w:rsid w:val="00977006"/>
    <w:rsid w:val="009819EE"/>
    <w:rsid w:val="00982F61"/>
    <w:rsid w:val="00983E6A"/>
    <w:rsid w:val="009844FA"/>
    <w:rsid w:val="00986E1E"/>
    <w:rsid w:val="0098787A"/>
    <w:rsid w:val="009920CD"/>
    <w:rsid w:val="009952D0"/>
    <w:rsid w:val="00997112"/>
    <w:rsid w:val="00997EA6"/>
    <w:rsid w:val="009A321A"/>
    <w:rsid w:val="009A54C6"/>
    <w:rsid w:val="009A5EE9"/>
    <w:rsid w:val="009A7BB9"/>
    <w:rsid w:val="009B0719"/>
    <w:rsid w:val="009C239F"/>
    <w:rsid w:val="009C2551"/>
    <w:rsid w:val="009C6A9F"/>
    <w:rsid w:val="009D2184"/>
    <w:rsid w:val="009D4659"/>
    <w:rsid w:val="009D4A50"/>
    <w:rsid w:val="009D634A"/>
    <w:rsid w:val="009D67E2"/>
    <w:rsid w:val="009D7E8D"/>
    <w:rsid w:val="009E637C"/>
    <w:rsid w:val="009F0AFB"/>
    <w:rsid w:val="009F3F07"/>
    <w:rsid w:val="009F570F"/>
    <w:rsid w:val="009F65DB"/>
    <w:rsid w:val="00A05327"/>
    <w:rsid w:val="00A070CA"/>
    <w:rsid w:val="00A07F8B"/>
    <w:rsid w:val="00A1121B"/>
    <w:rsid w:val="00A126C0"/>
    <w:rsid w:val="00A25C54"/>
    <w:rsid w:val="00A2735C"/>
    <w:rsid w:val="00A31CB1"/>
    <w:rsid w:val="00A32DA7"/>
    <w:rsid w:val="00A336AC"/>
    <w:rsid w:val="00A339C1"/>
    <w:rsid w:val="00A35742"/>
    <w:rsid w:val="00A35C4E"/>
    <w:rsid w:val="00A3657F"/>
    <w:rsid w:val="00A368BA"/>
    <w:rsid w:val="00A37861"/>
    <w:rsid w:val="00A4233C"/>
    <w:rsid w:val="00A435E5"/>
    <w:rsid w:val="00A43863"/>
    <w:rsid w:val="00A50826"/>
    <w:rsid w:val="00A53652"/>
    <w:rsid w:val="00A5409B"/>
    <w:rsid w:val="00A55A1E"/>
    <w:rsid w:val="00A56B96"/>
    <w:rsid w:val="00A57F20"/>
    <w:rsid w:val="00A6119C"/>
    <w:rsid w:val="00A615C4"/>
    <w:rsid w:val="00A64238"/>
    <w:rsid w:val="00A65022"/>
    <w:rsid w:val="00A653E3"/>
    <w:rsid w:val="00A66140"/>
    <w:rsid w:val="00A67152"/>
    <w:rsid w:val="00A67AF7"/>
    <w:rsid w:val="00A7612F"/>
    <w:rsid w:val="00A77E76"/>
    <w:rsid w:val="00A80DC2"/>
    <w:rsid w:val="00A83AA3"/>
    <w:rsid w:val="00A847E2"/>
    <w:rsid w:val="00A86A75"/>
    <w:rsid w:val="00A86C5C"/>
    <w:rsid w:val="00A905CA"/>
    <w:rsid w:val="00A94E44"/>
    <w:rsid w:val="00A96270"/>
    <w:rsid w:val="00AA4E34"/>
    <w:rsid w:val="00AB6F79"/>
    <w:rsid w:val="00AB7D95"/>
    <w:rsid w:val="00AC1B7B"/>
    <w:rsid w:val="00AC1BF6"/>
    <w:rsid w:val="00AC4236"/>
    <w:rsid w:val="00AC6D26"/>
    <w:rsid w:val="00AD0A70"/>
    <w:rsid w:val="00AD3903"/>
    <w:rsid w:val="00AE33C7"/>
    <w:rsid w:val="00AE5856"/>
    <w:rsid w:val="00AE7CA8"/>
    <w:rsid w:val="00AF2634"/>
    <w:rsid w:val="00AF7456"/>
    <w:rsid w:val="00B01AEC"/>
    <w:rsid w:val="00B052C5"/>
    <w:rsid w:val="00B15558"/>
    <w:rsid w:val="00B158FB"/>
    <w:rsid w:val="00B23B9E"/>
    <w:rsid w:val="00B250CA"/>
    <w:rsid w:val="00B257CC"/>
    <w:rsid w:val="00B26227"/>
    <w:rsid w:val="00B32933"/>
    <w:rsid w:val="00B32BA5"/>
    <w:rsid w:val="00B41281"/>
    <w:rsid w:val="00B538E3"/>
    <w:rsid w:val="00B53D00"/>
    <w:rsid w:val="00B53EA3"/>
    <w:rsid w:val="00B55EFB"/>
    <w:rsid w:val="00B5686C"/>
    <w:rsid w:val="00B630BD"/>
    <w:rsid w:val="00B636DD"/>
    <w:rsid w:val="00B67D2C"/>
    <w:rsid w:val="00B70831"/>
    <w:rsid w:val="00B70B59"/>
    <w:rsid w:val="00B71205"/>
    <w:rsid w:val="00B81F6B"/>
    <w:rsid w:val="00B860F0"/>
    <w:rsid w:val="00B8768E"/>
    <w:rsid w:val="00B915D2"/>
    <w:rsid w:val="00B92639"/>
    <w:rsid w:val="00B93CAC"/>
    <w:rsid w:val="00BA0426"/>
    <w:rsid w:val="00BA2AD0"/>
    <w:rsid w:val="00BA334D"/>
    <w:rsid w:val="00BA430E"/>
    <w:rsid w:val="00BB1AB5"/>
    <w:rsid w:val="00BB6327"/>
    <w:rsid w:val="00BB6C60"/>
    <w:rsid w:val="00BB709C"/>
    <w:rsid w:val="00BC2AE8"/>
    <w:rsid w:val="00BC4CB3"/>
    <w:rsid w:val="00BC4E55"/>
    <w:rsid w:val="00BC5793"/>
    <w:rsid w:val="00BD21C0"/>
    <w:rsid w:val="00BD24C9"/>
    <w:rsid w:val="00BD6D3F"/>
    <w:rsid w:val="00BD6EAD"/>
    <w:rsid w:val="00BE0C13"/>
    <w:rsid w:val="00BE0C5B"/>
    <w:rsid w:val="00BF6959"/>
    <w:rsid w:val="00C00839"/>
    <w:rsid w:val="00C065C0"/>
    <w:rsid w:val="00C068A3"/>
    <w:rsid w:val="00C11ACB"/>
    <w:rsid w:val="00C16B22"/>
    <w:rsid w:val="00C17F06"/>
    <w:rsid w:val="00C22777"/>
    <w:rsid w:val="00C23613"/>
    <w:rsid w:val="00C312C1"/>
    <w:rsid w:val="00C34F45"/>
    <w:rsid w:val="00C362CE"/>
    <w:rsid w:val="00C3638E"/>
    <w:rsid w:val="00C373A1"/>
    <w:rsid w:val="00C466B5"/>
    <w:rsid w:val="00C4681F"/>
    <w:rsid w:val="00C51662"/>
    <w:rsid w:val="00C517EB"/>
    <w:rsid w:val="00C613EE"/>
    <w:rsid w:val="00C616D8"/>
    <w:rsid w:val="00C67150"/>
    <w:rsid w:val="00C6770F"/>
    <w:rsid w:val="00C70498"/>
    <w:rsid w:val="00C70562"/>
    <w:rsid w:val="00C74B93"/>
    <w:rsid w:val="00C76B00"/>
    <w:rsid w:val="00C76E73"/>
    <w:rsid w:val="00C77F5D"/>
    <w:rsid w:val="00C80B7D"/>
    <w:rsid w:val="00C82B07"/>
    <w:rsid w:val="00C85EA7"/>
    <w:rsid w:val="00C87DBF"/>
    <w:rsid w:val="00C90EC3"/>
    <w:rsid w:val="00C95601"/>
    <w:rsid w:val="00C97D7C"/>
    <w:rsid w:val="00CA0164"/>
    <w:rsid w:val="00CA442A"/>
    <w:rsid w:val="00CB1933"/>
    <w:rsid w:val="00CB2946"/>
    <w:rsid w:val="00CB30E8"/>
    <w:rsid w:val="00CB656F"/>
    <w:rsid w:val="00CB6C25"/>
    <w:rsid w:val="00CB6C97"/>
    <w:rsid w:val="00CB7955"/>
    <w:rsid w:val="00CC04D8"/>
    <w:rsid w:val="00CC1DED"/>
    <w:rsid w:val="00CC2035"/>
    <w:rsid w:val="00CC2663"/>
    <w:rsid w:val="00CC34B3"/>
    <w:rsid w:val="00CC736D"/>
    <w:rsid w:val="00CC743C"/>
    <w:rsid w:val="00CD40B6"/>
    <w:rsid w:val="00CE13B8"/>
    <w:rsid w:val="00CE2656"/>
    <w:rsid w:val="00CE517E"/>
    <w:rsid w:val="00CE73F0"/>
    <w:rsid w:val="00CE7D31"/>
    <w:rsid w:val="00CE7D71"/>
    <w:rsid w:val="00CF1B4E"/>
    <w:rsid w:val="00CF2EB3"/>
    <w:rsid w:val="00CF6785"/>
    <w:rsid w:val="00CF7AA2"/>
    <w:rsid w:val="00D02C6E"/>
    <w:rsid w:val="00D04D48"/>
    <w:rsid w:val="00D056C6"/>
    <w:rsid w:val="00D05F7F"/>
    <w:rsid w:val="00D10C2F"/>
    <w:rsid w:val="00D115F6"/>
    <w:rsid w:val="00D16164"/>
    <w:rsid w:val="00D239C1"/>
    <w:rsid w:val="00D24853"/>
    <w:rsid w:val="00D27FE4"/>
    <w:rsid w:val="00D33B33"/>
    <w:rsid w:val="00D34436"/>
    <w:rsid w:val="00D34F5F"/>
    <w:rsid w:val="00D358DF"/>
    <w:rsid w:val="00D36015"/>
    <w:rsid w:val="00D410A4"/>
    <w:rsid w:val="00D4297E"/>
    <w:rsid w:val="00D42E7C"/>
    <w:rsid w:val="00D43372"/>
    <w:rsid w:val="00D45ADD"/>
    <w:rsid w:val="00D4690A"/>
    <w:rsid w:val="00D63AEA"/>
    <w:rsid w:val="00D6602B"/>
    <w:rsid w:val="00D70790"/>
    <w:rsid w:val="00D708CE"/>
    <w:rsid w:val="00D72EE4"/>
    <w:rsid w:val="00D753A7"/>
    <w:rsid w:val="00D809AB"/>
    <w:rsid w:val="00D8159E"/>
    <w:rsid w:val="00D823AB"/>
    <w:rsid w:val="00D828C0"/>
    <w:rsid w:val="00D83E85"/>
    <w:rsid w:val="00D8538C"/>
    <w:rsid w:val="00D908A4"/>
    <w:rsid w:val="00D933F6"/>
    <w:rsid w:val="00D95532"/>
    <w:rsid w:val="00D97D57"/>
    <w:rsid w:val="00DA2677"/>
    <w:rsid w:val="00DA3F35"/>
    <w:rsid w:val="00DA4005"/>
    <w:rsid w:val="00DB2E32"/>
    <w:rsid w:val="00DC15D8"/>
    <w:rsid w:val="00DC261F"/>
    <w:rsid w:val="00DC299A"/>
    <w:rsid w:val="00DC7D5D"/>
    <w:rsid w:val="00DD1153"/>
    <w:rsid w:val="00DD122D"/>
    <w:rsid w:val="00DD4A50"/>
    <w:rsid w:val="00DD5BA5"/>
    <w:rsid w:val="00DE2F55"/>
    <w:rsid w:val="00DE3545"/>
    <w:rsid w:val="00DE357C"/>
    <w:rsid w:val="00DE7E2A"/>
    <w:rsid w:val="00DF1119"/>
    <w:rsid w:val="00DF457F"/>
    <w:rsid w:val="00E00A5A"/>
    <w:rsid w:val="00E02FDD"/>
    <w:rsid w:val="00E04ECB"/>
    <w:rsid w:val="00E064B8"/>
    <w:rsid w:val="00E11B0C"/>
    <w:rsid w:val="00E11C56"/>
    <w:rsid w:val="00E12473"/>
    <w:rsid w:val="00E12546"/>
    <w:rsid w:val="00E12B9B"/>
    <w:rsid w:val="00E17397"/>
    <w:rsid w:val="00E21255"/>
    <w:rsid w:val="00E21409"/>
    <w:rsid w:val="00E21CFF"/>
    <w:rsid w:val="00E22E31"/>
    <w:rsid w:val="00E256A9"/>
    <w:rsid w:val="00E32FA1"/>
    <w:rsid w:val="00E37503"/>
    <w:rsid w:val="00E37A89"/>
    <w:rsid w:val="00E40D1E"/>
    <w:rsid w:val="00E4157C"/>
    <w:rsid w:val="00E42923"/>
    <w:rsid w:val="00E44065"/>
    <w:rsid w:val="00E44FAA"/>
    <w:rsid w:val="00E501F3"/>
    <w:rsid w:val="00E50F04"/>
    <w:rsid w:val="00E57F38"/>
    <w:rsid w:val="00E60B49"/>
    <w:rsid w:val="00E6421A"/>
    <w:rsid w:val="00E65782"/>
    <w:rsid w:val="00E6608B"/>
    <w:rsid w:val="00E665A4"/>
    <w:rsid w:val="00E759A6"/>
    <w:rsid w:val="00E762EC"/>
    <w:rsid w:val="00E81DA8"/>
    <w:rsid w:val="00E827FD"/>
    <w:rsid w:val="00E91807"/>
    <w:rsid w:val="00EA6A5F"/>
    <w:rsid w:val="00EA70A6"/>
    <w:rsid w:val="00EA7E91"/>
    <w:rsid w:val="00EB2530"/>
    <w:rsid w:val="00EB2EC0"/>
    <w:rsid w:val="00EB3376"/>
    <w:rsid w:val="00EB380D"/>
    <w:rsid w:val="00EB5BC6"/>
    <w:rsid w:val="00EB6098"/>
    <w:rsid w:val="00EB7035"/>
    <w:rsid w:val="00EC209B"/>
    <w:rsid w:val="00EC2C89"/>
    <w:rsid w:val="00EC7611"/>
    <w:rsid w:val="00ED469F"/>
    <w:rsid w:val="00EE0DBD"/>
    <w:rsid w:val="00EE3444"/>
    <w:rsid w:val="00EE40CD"/>
    <w:rsid w:val="00EE78C4"/>
    <w:rsid w:val="00EF095B"/>
    <w:rsid w:val="00F00355"/>
    <w:rsid w:val="00F030E0"/>
    <w:rsid w:val="00F03615"/>
    <w:rsid w:val="00F05BDC"/>
    <w:rsid w:val="00F06F2F"/>
    <w:rsid w:val="00F10481"/>
    <w:rsid w:val="00F10E2B"/>
    <w:rsid w:val="00F11973"/>
    <w:rsid w:val="00F1721E"/>
    <w:rsid w:val="00F22C19"/>
    <w:rsid w:val="00F31350"/>
    <w:rsid w:val="00F31CF6"/>
    <w:rsid w:val="00F3237A"/>
    <w:rsid w:val="00F32A94"/>
    <w:rsid w:val="00F33EA0"/>
    <w:rsid w:val="00F34790"/>
    <w:rsid w:val="00F403F4"/>
    <w:rsid w:val="00F41AD2"/>
    <w:rsid w:val="00F469F0"/>
    <w:rsid w:val="00F47BEB"/>
    <w:rsid w:val="00F531ED"/>
    <w:rsid w:val="00F55246"/>
    <w:rsid w:val="00F60806"/>
    <w:rsid w:val="00F619F8"/>
    <w:rsid w:val="00F61EBF"/>
    <w:rsid w:val="00F633C2"/>
    <w:rsid w:val="00F63F68"/>
    <w:rsid w:val="00F65149"/>
    <w:rsid w:val="00F66454"/>
    <w:rsid w:val="00F70506"/>
    <w:rsid w:val="00F71CD8"/>
    <w:rsid w:val="00F73874"/>
    <w:rsid w:val="00F74F88"/>
    <w:rsid w:val="00F77361"/>
    <w:rsid w:val="00F82EEF"/>
    <w:rsid w:val="00F83445"/>
    <w:rsid w:val="00F84C62"/>
    <w:rsid w:val="00F85B8E"/>
    <w:rsid w:val="00F86589"/>
    <w:rsid w:val="00F915FF"/>
    <w:rsid w:val="00F95171"/>
    <w:rsid w:val="00F952CB"/>
    <w:rsid w:val="00F96B99"/>
    <w:rsid w:val="00FA1927"/>
    <w:rsid w:val="00FA4247"/>
    <w:rsid w:val="00FB002B"/>
    <w:rsid w:val="00FB0DA3"/>
    <w:rsid w:val="00FB1D31"/>
    <w:rsid w:val="00FB24CE"/>
    <w:rsid w:val="00FB42B6"/>
    <w:rsid w:val="00FB7229"/>
    <w:rsid w:val="00FB73F0"/>
    <w:rsid w:val="00FC6F85"/>
    <w:rsid w:val="00FD080B"/>
    <w:rsid w:val="00FD0E07"/>
    <w:rsid w:val="00FD16EF"/>
    <w:rsid w:val="00FD2DDA"/>
    <w:rsid w:val="00FD3341"/>
    <w:rsid w:val="00FD4807"/>
    <w:rsid w:val="00FD5A5A"/>
    <w:rsid w:val="00FD5E21"/>
    <w:rsid w:val="00FD72CF"/>
    <w:rsid w:val="00FE1241"/>
    <w:rsid w:val="00FE26C8"/>
    <w:rsid w:val="00FE50FF"/>
    <w:rsid w:val="00FE5910"/>
    <w:rsid w:val="00FF1173"/>
    <w:rsid w:val="00FF2761"/>
    <w:rsid w:val="00FF4575"/>
    <w:rsid w:val="00FF6B5A"/>
    <w:rsid w:val="00FF75C0"/>
    <w:rsid w:val="00FF7A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C44E9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0">
    <w:name w:val="Normal"/>
    <w:qFormat/>
    <w:rsid w:val="00007E35"/>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Strong"/>
    <w:uiPriority w:val="99"/>
    <w:qFormat/>
    <w:rsid w:val="00007E35"/>
    <w:rPr>
      <w:rFonts w:cs="Times New Roman"/>
      <w:b/>
      <w:bCs/>
    </w:rPr>
  </w:style>
  <w:style w:type="paragraph" w:styleId="a5">
    <w:name w:val="Date"/>
    <w:basedOn w:val="a0"/>
    <w:next w:val="a0"/>
    <w:link w:val="a6"/>
    <w:uiPriority w:val="99"/>
    <w:semiHidden/>
    <w:rsid w:val="007A2D93"/>
    <w:pPr>
      <w:ind w:leftChars="2500" w:left="100"/>
    </w:pPr>
  </w:style>
  <w:style w:type="character" w:customStyle="1" w:styleId="a6">
    <w:name w:val="日期 字符"/>
    <w:link w:val="a5"/>
    <w:uiPriority w:val="99"/>
    <w:semiHidden/>
    <w:locked/>
    <w:rsid w:val="007A2D93"/>
    <w:rPr>
      <w:rFonts w:cs="Times New Roman"/>
    </w:rPr>
  </w:style>
  <w:style w:type="paragraph" w:styleId="a7">
    <w:name w:val="Balloon Text"/>
    <w:basedOn w:val="a0"/>
    <w:link w:val="a8"/>
    <w:uiPriority w:val="99"/>
    <w:semiHidden/>
    <w:rsid w:val="007A2D93"/>
    <w:rPr>
      <w:sz w:val="18"/>
      <w:szCs w:val="18"/>
    </w:rPr>
  </w:style>
  <w:style w:type="character" w:customStyle="1" w:styleId="a8">
    <w:name w:val="批注框文本 字符"/>
    <w:link w:val="a7"/>
    <w:uiPriority w:val="99"/>
    <w:semiHidden/>
    <w:locked/>
    <w:rsid w:val="007A2D93"/>
    <w:rPr>
      <w:rFonts w:cs="Times New Roman"/>
      <w:sz w:val="18"/>
      <w:szCs w:val="18"/>
    </w:rPr>
  </w:style>
  <w:style w:type="paragraph" w:customStyle="1" w:styleId="Normal">
    <w:name w:val="[Normal]"/>
    <w:uiPriority w:val="99"/>
    <w:rsid w:val="009A321A"/>
    <w:pPr>
      <w:autoSpaceDE w:val="0"/>
      <w:autoSpaceDN w:val="0"/>
      <w:adjustRightInd w:val="0"/>
    </w:pPr>
    <w:rPr>
      <w:rFonts w:ascii="Arial" w:eastAsia="PMingLiU" w:hAnsi="Arial" w:cs="Arial"/>
      <w:sz w:val="24"/>
      <w:szCs w:val="24"/>
      <w:lang w:eastAsia="en-US"/>
    </w:rPr>
  </w:style>
  <w:style w:type="table" w:styleId="a9">
    <w:name w:val="Table Grid"/>
    <w:basedOn w:val="a2"/>
    <w:uiPriority w:val="99"/>
    <w:rsid w:val="00CB79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0"/>
    <w:link w:val="ab"/>
    <w:uiPriority w:val="99"/>
    <w:rsid w:val="00CB7955"/>
    <w:pPr>
      <w:pBdr>
        <w:bottom w:val="single" w:sz="6" w:space="1" w:color="auto"/>
      </w:pBdr>
      <w:tabs>
        <w:tab w:val="center" w:pos="4153"/>
        <w:tab w:val="right" w:pos="8306"/>
      </w:tabs>
      <w:snapToGrid w:val="0"/>
      <w:jc w:val="center"/>
    </w:pPr>
    <w:rPr>
      <w:sz w:val="18"/>
      <w:szCs w:val="18"/>
    </w:rPr>
  </w:style>
  <w:style w:type="character" w:customStyle="1" w:styleId="ab">
    <w:name w:val="页眉 字符"/>
    <w:link w:val="aa"/>
    <w:uiPriority w:val="99"/>
    <w:locked/>
    <w:rsid w:val="00CB7955"/>
    <w:rPr>
      <w:rFonts w:cs="Times New Roman"/>
      <w:sz w:val="18"/>
      <w:szCs w:val="18"/>
    </w:rPr>
  </w:style>
  <w:style w:type="paragraph" w:styleId="ac">
    <w:name w:val="footer"/>
    <w:basedOn w:val="a0"/>
    <w:link w:val="ad"/>
    <w:uiPriority w:val="99"/>
    <w:rsid w:val="00BE0C5B"/>
    <w:pPr>
      <w:tabs>
        <w:tab w:val="center" w:pos="4153"/>
        <w:tab w:val="right" w:pos="8306"/>
      </w:tabs>
      <w:snapToGrid w:val="0"/>
      <w:jc w:val="left"/>
    </w:pPr>
    <w:rPr>
      <w:sz w:val="18"/>
      <w:szCs w:val="18"/>
    </w:rPr>
  </w:style>
  <w:style w:type="character" w:customStyle="1" w:styleId="ad">
    <w:name w:val="页脚 字符"/>
    <w:link w:val="ac"/>
    <w:uiPriority w:val="99"/>
    <w:locked/>
    <w:rsid w:val="00BE0C5B"/>
    <w:rPr>
      <w:rFonts w:cs="Times New Roman"/>
      <w:sz w:val="18"/>
      <w:szCs w:val="18"/>
    </w:rPr>
  </w:style>
  <w:style w:type="paragraph" w:styleId="ae">
    <w:name w:val="List Paragraph"/>
    <w:basedOn w:val="a0"/>
    <w:link w:val="af"/>
    <w:uiPriority w:val="34"/>
    <w:qFormat/>
    <w:rsid w:val="007C0603"/>
    <w:pPr>
      <w:ind w:left="720"/>
      <w:contextualSpacing/>
    </w:pPr>
  </w:style>
  <w:style w:type="character" w:styleId="af0">
    <w:name w:val="page number"/>
    <w:uiPriority w:val="99"/>
    <w:rsid w:val="002E6FF0"/>
    <w:rPr>
      <w:rFonts w:cs="Times New Roman"/>
    </w:rPr>
  </w:style>
  <w:style w:type="paragraph" w:styleId="af1">
    <w:name w:val="footnote text"/>
    <w:basedOn w:val="a0"/>
    <w:link w:val="af2"/>
    <w:uiPriority w:val="99"/>
    <w:semiHidden/>
    <w:rsid w:val="00FD72CF"/>
    <w:pPr>
      <w:snapToGrid w:val="0"/>
      <w:jc w:val="left"/>
    </w:pPr>
    <w:rPr>
      <w:sz w:val="18"/>
      <w:szCs w:val="18"/>
    </w:rPr>
  </w:style>
  <w:style w:type="character" w:customStyle="1" w:styleId="af2">
    <w:name w:val="脚注文本 字符"/>
    <w:link w:val="af1"/>
    <w:uiPriority w:val="99"/>
    <w:semiHidden/>
    <w:rsid w:val="000938E6"/>
    <w:rPr>
      <w:sz w:val="18"/>
      <w:szCs w:val="18"/>
    </w:rPr>
  </w:style>
  <w:style w:type="character" w:styleId="af3">
    <w:name w:val="footnote reference"/>
    <w:uiPriority w:val="99"/>
    <w:semiHidden/>
    <w:rsid w:val="00FD72CF"/>
    <w:rPr>
      <w:rFonts w:cs="Times New Roman"/>
      <w:vertAlign w:val="superscript"/>
    </w:rPr>
  </w:style>
  <w:style w:type="table" w:customStyle="1" w:styleId="-11">
    <w:name w:val="浅色底纹 - 强调文字颜色 11"/>
    <w:basedOn w:val="a2"/>
    <w:uiPriority w:val="60"/>
    <w:rsid w:val="001B69B1"/>
    <w:rPr>
      <w:color w:val="A5A5A5"/>
    </w:rPr>
    <w:tblPr>
      <w:tblStyleRowBandSize w:val="1"/>
      <w:tblStyleColBandSize w:val="1"/>
      <w:tblBorders>
        <w:top w:val="single" w:sz="8" w:space="0" w:color="DDDDDD"/>
        <w:bottom w:val="single" w:sz="8" w:space="0" w:color="DDDDDD"/>
      </w:tblBorders>
    </w:tblPr>
    <w:tcPr>
      <w:shd w:val="clear" w:color="auto" w:fill="FFFFFF"/>
    </w:tcPr>
    <w:tblStylePr w:type="firstRow">
      <w:pPr>
        <w:spacing w:before="0" w:after="0" w:line="240" w:lineRule="auto"/>
      </w:pPr>
      <w:rPr>
        <w:b/>
        <w:bCs/>
      </w:rPr>
      <w:tblPr/>
      <w:tcPr>
        <w:shd w:val="clear" w:color="auto" w:fill="FFFFFF"/>
      </w:tcPr>
    </w:tblStylePr>
    <w:tblStylePr w:type="lastRow">
      <w:pPr>
        <w:spacing w:before="0" w:after="0" w:line="240" w:lineRule="auto"/>
      </w:pPr>
      <w:rPr>
        <w:b/>
        <w:bCs/>
      </w:rPr>
      <w:tblPr/>
      <w:tcPr>
        <w:shd w:val="clear" w:color="auto" w:fill="CCCCCC"/>
      </w:tcPr>
    </w:tblStylePr>
    <w:tblStylePr w:type="firstCol">
      <w:rPr>
        <w:b/>
        <w:bCs/>
      </w:rPr>
      <w:tblPr/>
      <w:tcPr>
        <w:shd w:val="clear" w:color="auto" w:fill="FFFFFF"/>
      </w:tcPr>
    </w:tblStylePr>
    <w:tblStylePr w:type="lastCol">
      <w:rPr>
        <w:b/>
        <w:bCs/>
        <w:color w:val="A5A5A5"/>
      </w:rPr>
      <w:tblPr/>
      <w:tcPr>
        <w:shd w:val="clear" w:color="auto" w:fill="FFFFFF"/>
      </w:tcPr>
    </w:tblStylePr>
    <w:tblStylePr w:type="band1Vert">
      <w:tblPr/>
      <w:tcPr>
        <w:shd w:val="clear" w:color="auto" w:fill="FFFFFF"/>
      </w:tcPr>
    </w:tblStylePr>
    <w:tblStylePr w:type="seCell">
      <w:tblPr/>
      <w:tcPr>
        <w:shd w:val="clear" w:color="auto" w:fill="CCCCCC"/>
      </w:tcPr>
    </w:tblStylePr>
    <w:tblStylePr w:type="swCell">
      <w:tblPr/>
      <w:tcPr>
        <w:shd w:val="clear" w:color="auto" w:fill="CCCCCC"/>
      </w:tcPr>
    </w:tblStylePr>
  </w:style>
  <w:style w:type="character" w:styleId="af4">
    <w:name w:val="Hyperlink"/>
    <w:uiPriority w:val="99"/>
    <w:unhideWhenUsed/>
    <w:rsid w:val="0073682B"/>
    <w:rPr>
      <w:color w:val="5F5F5F"/>
      <w:u w:val="single"/>
    </w:rPr>
  </w:style>
  <w:style w:type="character" w:styleId="af5">
    <w:name w:val="annotation reference"/>
    <w:uiPriority w:val="99"/>
    <w:semiHidden/>
    <w:unhideWhenUsed/>
    <w:rsid w:val="00E44065"/>
    <w:rPr>
      <w:sz w:val="21"/>
      <w:szCs w:val="21"/>
    </w:rPr>
  </w:style>
  <w:style w:type="paragraph" w:styleId="af6">
    <w:name w:val="annotation text"/>
    <w:basedOn w:val="a0"/>
    <w:link w:val="af7"/>
    <w:uiPriority w:val="99"/>
    <w:semiHidden/>
    <w:unhideWhenUsed/>
    <w:rsid w:val="00E44065"/>
    <w:pPr>
      <w:jc w:val="left"/>
    </w:pPr>
  </w:style>
  <w:style w:type="character" w:customStyle="1" w:styleId="af7">
    <w:name w:val="批注文字 字符"/>
    <w:basedOn w:val="a1"/>
    <w:link w:val="af6"/>
    <w:uiPriority w:val="99"/>
    <w:semiHidden/>
    <w:rsid w:val="00E44065"/>
  </w:style>
  <w:style w:type="paragraph" w:styleId="af8">
    <w:name w:val="annotation subject"/>
    <w:basedOn w:val="af6"/>
    <w:next w:val="af6"/>
    <w:link w:val="af9"/>
    <w:uiPriority w:val="99"/>
    <w:semiHidden/>
    <w:unhideWhenUsed/>
    <w:rsid w:val="00E44065"/>
    <w:rPr>
      <w:b/>
      <w:bCs/>
    </w:rPr>
  </w:style>
  <w:style w:type="character" w:customStyle="1" w:styleId="af9">
    <w:name w:val="批注主题 字符"/>
    <w:link w:val="af8"/>
    <w:uiPriority w:val="99"/>
    <w:semiHidden/>
    <w:rsid w:val="00E44065"/>
    <w:rPr>
      <w:b/>
      <w:bCs/>
    </w:rPr>
  </w:style>
  <w:style w:type="paragraph" w:customStyle="1" w:styleId="1">
    <w:name w:val="样式1"/>
    <w:basedOn w:val="a0"/>
    <w:link w:val="1Char"/>
    <w:qFormat/>
    <w:rsid w:val="00F06F2F"/>
    <w:rPr>
      <w:b/>
      <w:bCs/>
    </w:rPr>
  </w:style>
  <w:style w:type="character" w:customStyle="1" w:styleId="1Char">
    <w:name w:val="样式1 Char"/>
    <w:link w:val="1"/>
    <w:rsid w:val="00F06F2F"/>
    <w:rPr>
      <w:b/>
      <w:bCs/>
    </w:rPr>
  </w:style>
  <w:style w:type="paragraph" w:customStyle="1" w:styleId="2">
    <w:name w:val="样式2"/>
    <w:basedOn w:val="a0"/>
    <w:link w:val="2Char"/>
    <w:qFormat/>
    <w:rsid w:val="00F06F2F"/>
    <w:rPr>
      <w:b/>
      <w:bCs/>
      <w:color w:val="161616"/>
    </w:rPr>
  </w:style>
  <w:style w:type="character" w:customStyle="1" w:styleId="2Char">
    <w:name w:val="样式2 Char"/>
    <w:link w:val="2"/>
    <w:rsid w:val="00F06F2F"/>
    <w:rPr>
      <w:b/>
      <w:bCs/>
      <w:color w:val="161616"/>
    </w:rPr>
  </w:style>
  <w:style w:type="character" w:styleId="afa">
    <w:name w:val="line number"/>
    <w:basedOn w:val="a1"/>
    <w:uiPriority w:val="99"/>
    <w:semiHidden/>
    <w:unhideWhenUsed/>
    <w:rsid w:val="00997112"/>
  </w:style>
  <w:style w:type="paragraph" w:styleId="afb">
    <w:name w:val="envelope return"/>
    <w:basedOn w:val="a0"/>
    <w:rsid w:val="00CE2656"/>
    <w:pPr>
      <w:widowControl/>
      <w:tabs>
        <w:tab w:val="left" w:pos="6804"/>
        <w:tab w:val="decimal" w:pos="8505"/>
      </w:tabs>
      <w:spacing w:line="340" w:lineRule="exact"/>
      <w:jc w:val="left"/>
    </w:pPr>
    <w:rPr>
      <w:rFonts w:ascii="Times New Roman" w:hAnsi="Times New Roman"/>
      <w:kern w:val="0"/>
      <w:sz w:val="24"/>
      <w:szCs w:val="20"/>
      <w:lang w:val="de-DE"/>
    </w:rPr>
  </w:style>
  <w:style w:type="paragraph" w:styleId="afc">
    <w:name w:val="Revision"/>
    <w:hidden/>
    <w:uiPriority w:val="99"/>
    <w:semiHidden/>
    <w:rsid w:val="00B5686C"/>
    <w:rPr>
      <w:kern w:val="2"/>
      <w:sz w:val="21"/>
      <w:szCs w:val="22"/>
    </w:rPr>
  </w:style>
  <w:style w:type="character" w:styleId="afd">
    <w:name w:val="FollowedHyperlink"/>
    <w:uiPriority w:val="99"/>
    <w:semiHidden/>
    <w:unhideWhenUsed/>
    <w:rsid w:val="00CB1933"/>
    <w:rPr>
      <w:color w:val="919191"/>
      <w:u w:val="single"/>
    </w:rPr>
  </w:style>
  <w:style w:type="paragraph" w:customStyle="1" w:styleId="afe">
    <w:name w:val="大标题"/>
    <w:basedOn w:val="a0"/>
    <w:link w:val="Char"/>
    <w:qFormat/>
    <w:rsid w:val="003B150D"/>
    <w:pPr>
      <w:spacing w:beforeLines="250" w:before="780" w:afterLines="200" w:after="624" w:line="240" w:lineRule="exact"/>
      <w:jc w:val="center"/>
    </w:pPr>
    <w:rPr>
      <w:rFonts w:ascii="Times New Roman" w:eastAsia="楷体" w:hAnsi="Times New Roman"/>
      <w:b/>
      <w:kern w:val="0"/>
      <w:sz w:val="24"/>
      <w:szCs w:val="24"/>
    </w:rPr>
  </w:style>
  <w:style w:type="paragraph" w:customStyle="1" w:styleId="aff">
    <w:name w:val="内文"/>
    <w:basedOn w:val="a0"/>
    <w:link w:val="Char0"/>
    <w:qFormat/>
    <w:rsid w:val="003B150D"/>
    <w:pPr>
      <w:spacing w:before="100" w:beforeAutospacing="1" w:after="100" w:afterAutospacing="1" w:line="240" w:lineRule="exact"/>
    </w:pPr>
    <w:rPr>
      <w:rFonts w:ascii="Times New Roman" w:eastAsiaTheme="minorEastAsia" w:hAnsi="Times New Roman"/>
      <w:kern w:val="0"/>
      <w:sz w:val="20"/>
      <w:szCs w:val="20"/>
    </w:rPr>
  </w:style>
  <w:style w:type="character" w:customStyle="1" w:styleId="Char">
    <w:name w:val="大标题 Char"/>
    <w:basedOn w:val="a1"/>
    <w:link w:val="afe"/>
    <w:rsid w:val="003B150D"/>
    <w:rPr>
      <w:rFonts w:ascii="Times New Roman" w:eastAsia="楷体" w:hAnsi="Times New Roman"/>
      <w:b/>
      <w:sz w:val="24"/>
      <w:szCs w:val="24"/>
    </w:rPr>
  </w:style>
  <w:style w:type="paragraph" w:customStyle="1" w:styleId="a">
    <w:name w:val="小标题"/>
    <w:basedOn w:val="ae"/>
    <w:link w:val="Char1"/>
    <w:qFormat/>
    <w:rsid w:val="003B150D"/>
    <w:pPr>
      <w:numPr>
        <w:ilvl w:val="1"/>
        <w:numId w:val="6"/>
      </w:numPr>
      <w:tabs>
        <w:tab w:val="left" w:pos="440"/>
      </w:tabs>
      <w:spacing w:before="100" w:beforeAutospacing="1" w:after="100" w:afterAutospacing="1" w:line="240" w:lineRule="exact"/>
      <w:ind w:right="-7" w:firstLine="0"/>
      <w:contextualSpacing w:val="0"/>
    </w:pPr>
    <w:rPr>
      <w:rFonts w:ascii="Times New Roman" w:eastAsiaTheme="minorEastAsia" w:hAnsi="Times New Roman"/>
      <w:b/>
    </w:rPr>
  </w:style>
  <w:style w:type="character" w:customStyle="1" w:styleId="Char0">
    <w:name w:val="内文 Char"/>
    <w:basedOn w:val="a1"/>
    <w:link w:val="aff"/>
    <w:rsid w:val="003B150D"/>
    <w:rPr>
      <w:rFonts w:ascii="Times New Roman" w:eastAsiaTheme="minorEastAsia" w:hAnsi="Times New Roman"/>
    </w:rPr>
  </w:style>
  <w:style w:type="character" w:customStyle="1" w:styleId="af">
    <w:name w:val="列表段落 字符"/>
    <w:basedOn w:val="a1"/>
    <w:link w:val="ae"/>
    <w:uiPriority w:val="34"/>
    <w:rsid w:val="003B150D"/>
    <w:rPr>
      <w:kern w:val="2"/>
      <w:sz w:val="21"/>
      <w:szCs w:val="22"/>
    </w:rPr>
  </w:style>
  <w:style w:type="character" w:customStyle="1" w:styleId="Char1">
    <w:name w:val="小标题 Char"/>
    <w:basedOn w:val="af"/>
    <w:link w:val="a"/>
    <w:rsid w:val="003B150D"/>
    <w:rPr>
      <w:rFonts w:ascii="Times New Roman" w:eastAsiaTheme="minorEastAsia" w:hAnsi="Times New Roman"/>
      <w:b/>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494590">
      <w:bodyDiv w:val="1"/>
      <w:marLeft w:val="0"/>
      <w:marRight w:val="0"/>
      <w:marTop w:val="0"/>
      <w:marBottom w:val="0"/>
      <w:divBdr>
        <w:top w:val="none" w:sz="0" w:space="0" w:color="auto"/>
        <w:left w:val="none" w:sz="0" w:space="0" w:color="auto"/>
        <w:bottom w:val="none" w:sz="0" w:space="0" w:color="auto"/>
        <w:right w:val="none" w:sz="0" w:space="0" w:color="auto"/>
      </w:divBdr>
    </w:div>
    <w:div w:id="189031663">
      <w:marLeft w:val="0"/>
      <w:marRight w:val="0"/>
      <w:marTop w:val="0"/>
      <w:marBottom w:val="0"/>
      <w:divBdr>
        <w:top w:val="none" w:sz="0" w:space="0" w:color="auto"/>
        <w:left w:val="none" w:sz="0" w:space="0" w:color="auto"/>
        <w:bottom w:val="none" w:sz="0" w:space="0" w:color="auto"/>
        <w:right w:val="none" w:sz="0" w:space="0" w:color="auto"/>
      </w:divBdr>
    </w:div>
    <w:div w:id="200484300">
      <w:bodyDiv w:val="1"/>
      <w:marLeft w:val="0"/>
      <w:marRight w:val="0"/>
      <w:marTop w:val="0"/>
      <w:marBottom w:val="0"/>
      <w:divBdr>
        <w:top w:val="none" w:sz="0" w:space="0" w:color="auto"/>
        <w:left w:val="none" w:sz="0" w:space="0" w:color="auto"/>
        <w:bottom w:val="none" w:sz="0" w:space="0" w:color="auto"/>
        <w:right w:val="none" w:sz="0" w:space="0" w:color="auto"/>
      </w:divBdr>
    </w:div>
    <w:div w:id="275218145">
      <w:bodyDiv w:val="1"/>
      <w:marLeft w:val="0"/>
      <w:marRight w:val="0"/>
      <w:marTop w:val="0"/>
      <w:marBottom w:val="0"/>
      <w:divBdr>
        <w:top w:val="none" w:sz="0" w:space="0" w:color="auto"/>
        <w:left w:val="none" w:sz="0" w:space="0" w:color="auto"/>
        <w:bottom w:val="none" w:sz="0" w:space="0" w:color="auto"/>
        <w:right w:val="none" w:sz="0" w:space="0" w:color="auto"/>
      </w:divBdr>
    </w:div>
    <w:div w:id="302546076">
      <w:bodyDiv w:val="1"/>
      <w:marLeft w:val="0"/>
      <w:marRight w:val="0"/>
      <w:marTop w:val="0"/>
      <w:marBottom w:val="0"/>
      <w:divBdr>
        <w:top w:val="none" w:sz="0" w:space="0" w:color="auto"/>
        <w:left w:val="none" w:sz="0" w:space="0" w:color="auto"/>
        <w:bottom w:val="none" w:sz="0" w:space="0" w:color="auto"/>
        <w:right w:val="none" w:sz="0" w:space="0" w:color="auto"/>
      </w:divBdr>
    </w:div>
    <w:div w:id="407112936">
      <w:bodyDiv w:val="1"/>
      <w:marLeft w:val="0"/>
      <w:marRight w:val="0"/>
      <w:marTop w:val="0"/>
      <w:marBottom w:val="0"/>
      <w:divBdr>
        <w:top w:val="none" w:sz="0" w:space="0" w:color="auto"/>
        <w:left w:val="none" w:sz="0" w:space="0" w:color="auto"/>
        <w:bottom w:val="none" w:sz="0" w:space="0" w:color="auto"/>
        <w:right w:val="none" w:sz="0" w:space="0" w:color="auto"/>
      </w:divBdr>
    </w:div>
    <w:div w:id="539320145">
      <w:bodyDiv w:val="1"/>
      <w:marLeft w:val="0"/>
      <w:marRight w:val="0"/>
      <w:marTop w:val="0"/>
      <w:marBottom w:val="0"/>
      <w:divBdr>
        <w:top w:val="none" w:sz="0" w:space="0" w:color="auto"/>
        <w:left w:val="none" w:sz="0" w:space="0" w:color="auto"/>
        <w:bottom w:val="none" w:sz="0" w:space="0" w:color="auto"/>
        <w:right w:val="none" w:sz="0" w:space="0" w:color="auto"/>
      </w:divBdr>
    </w:div>
    <w:div w:id="602691411">
      <w:bodyDiv w:val="1"/>
      <w:marLeft w:val="0"/>
      <w:marRight w:val="0"/>
      <w:marTop w:val="0"/>
      <w:marBottom w:val="0"/>
      <w:divBdr>
        <w:top w:val="none" w:sz="0" w:space="0" w:color="auto"/>
        <w:left w:val="none" w:sz="0" w:space="0" w:color="auto"/>
        <w:bottom w:val="none" w:sz="0" w:space="0" w:color="auto"/>
        <w:right w:val="none" w:sz="0" w:space="0" w:color="auto"/>
      </w:divBdr>
    </w:div>
    <w:div w:id="625310040">
      <w:bodyDiv w:val="1"/>
      <w:marLeft w:val="0"/>
      <w:marRight w:val="0"/>
      <w:marTop w:val="0"/>
      <w:marBottom w:val="0"/>
      <w:divBdr>
        <w:top w:val="none" w:sz="0" w:space="0" w:color="auto"/>
        <w:left w:val="none" w:sz="0" w:space="0" w:color="auto"/>
        <w:bottom w:val="none" w:sz="0" w:space="0" w:color="auto"/>
        <w:right w:val="none" w:sz="0" w:space="0" w:color="auto"/>
      </w:divBdr>
    </w:div>
    <w:div w:id="662313700">
      <w:bodyDiv w:val="1"/>
      <w:marLeft w:val="0"/>
      <w:marRight w:val="0"/>
      <w:marTop w:val="0"/>
      <w:marBottom w:val="0"/>
      <w:divBdr>
        <w:top w:val="none" w:sz="0" w:space="0" w:color="auto"/>
        <w:left w:val="none" w:sz="0" w:space="0" w:color="auto"/>
        <w:bottom w:val="none" w:sz="0" w:space="0" w:color="auto"/>
        <w:right w:val="none" w:sz="0" w:space="0" w:color="auto"/>
      </w:divBdr>
    </w:div>
    <w:div w:id="831481732">
      <w:bodyDiv w:val="1"/>
      <w:marLeft w:val="0"/>
      <w:marRight w:val="0"/>
      <w:marTop w:val="0"/>
      <w:marBottom w:val="0"/>
      <w:divBdr>
        <w:top w:val="none" w:sz="0" w:space="0" w:color="auto"/>
        <w:left w:val="none" w:sz="0" w:space="0" w:color="auto"/>
        <w:bottom w:val="none" w:sz="0" w:space="0" w:color="auto"/>
        <w:right w:val="none" w:sz="0" w:space="0" w:color="auto"/>
      </w:divBdr>
    </w:div>
    <w:div w:id="902644209">
      <w:bodyDiv w:val="1"/>
      <w:marLeft w:val="0"/>
      <w:marRight w:val="0"/>
      <w:marTop w:val="0"/>
      <w:marBottom w:val="0"/>
      <w:divBdr>
        <w:top w:val="none" w:sz="0" w:space="0" w:color="auto"/>
        <w:left w:val="none" w:sz="0" w:space="0" w:color="auto"/>
        <w:bottom w:val="none" w:sz="0" w:space="0" w:color="auto"/>
        <w:right w:val="none" w:sz="0" w:space="0" w:color="auto"/>
      </w:divBdr>
    </w:div>
    <w:div w:id="928274825">
      <w:bodyDiv w:val="1"/>
      <w:marLeft w:val="0"/>
      <w:marRight w:val="0"/>
      <w:marTop w:val="0"/>
      <w:marBottom w:val="0"/>
      <w:divBdr>
        <w:top w:val="none" w:sz="0" w:space="0" w:color="auto"/>
        <w:left w:val="none" w:sz="0" w:space="0" w:color="auto"/>
        <w:bottom w:val="none" w:sz="0" w:space="0" w:color="auto"/>
        <w:right w:val="none" w:sz="0" w:space="0" w:color="auto"/>
      </w:divBdr>
    </w:div>
    <w:div w:id="1012338984">
      <w:bodyDiv w:val="1"/>
      <w:marLeft w:val="0"/>
      <w:marRight w:val="0"/>
      <w:marTop w:val="0"/>
      <w:marBottom w:val="0"/>
      <w:divBdr>
        <w:top w:val="none" w:sz="0" w:space="0" w:color="auto"/>
        <w:left w:val="none" w:sz="0" w:space="0" w:color="auto"/>
        <w:bottom w:val="none" w:sz="0" w:space="0" w:color="auto"/>
        <w:right w:val="none" w:sz="0" w:space="0" w:color="auto"/>
      </w:divBdr>
    </w:div>
    <w:div w:id="1210335178">
      <w:bodyDiv w:val="1"/>
      <w:marLeft w:val="0"/>
      <w:marRight w:val="0"/>
      <w:marTop w:val="0"/>
      <w:marBottom w:val="0"/>
      <w:divBdr>
        <w:top w:val="none" w:sz="0" w:space="0" w:color="auto"/>
        <w:left w:val="none" w:sz="0" w:space="0" w:color="auto"/>
        <w:bottom w:val="none" w:sz="0" w:space="0" w:color="auto"/>
        <w:right w:val="none" w:sz="0" w:space="0" w:color="auto"/>
      </w:divBdr>
    </w:div>
    <w:div w:id="1236278660">
      <w:bodyDiv w:val="1"/>
      <w:marLeft w:val="0"/>
      <w:marRight w:val="0"/>
      <w:marTop w:val="0"/>
      <w:marBottom w:val="0"/>
      <w:divBdr>
        <w:top w:val="none" w:sz="0" w:space="0" w:color="auto"/>
        <w:left w:val="none" w:sz="0" w:space="0" w:color="auto"/>
        <w:bottom w:val="none" w:sz="0" w:space="0" w:color="auto"/>
        <w:right w:val="none" w:sz="0" w:space="0" w:color="auto"/>
      </w:divBdr>
    </w:div>
    <w:div w:id="1349985780">
      <w:bodyDiv w:val="1"/>
      <w:marLeft w:val="0"/>
      <w:marRight w:val="0"/>
      <w:marTop w:val="0"/>
      <w:marBottom w:val="0"/>
      <w:divBdr>
        <w:top w:val="none" w:sz="0" w:space="0" w:color="auto"/>
        <w:left w:val="none" w:sz="0" w:space="0" w:color="auto"/>
        <w:bottom w:val="none" w:sz="0" w:space="0" w:color="auto"/>
        <w:right w:val="none" w:sz="0" w:space="0" w:color="auto"/>
      </w:divBdr>
    </w:div>
    <w:div w:id="1353993255">
      <w:bodyDiv w:val="1"/>
      <w:marLeft w:val="0"/>
      <w:marRight w:val="0"/>
      <w:marTop w:val="0"/>
      <w:marBottom w:val="0"/>
      <w:divBdr>
        <w:top w:val="none" w:sz="0" w:space="0" w:color="auto"/>
        <w:left w:val="none" w:sz="0" w:space="0" w:color="auto"/>
        <w:bottom w:val="none" w:sz="0" w:space="0" w:color="auto"/>
        <w:right w:val="none" w:sz="0" w:space="0" w:color="auto"/>
      </w:divBdr>
    </w:div>
    <w:div w:id="1494369646">
      <w:bodyDiv w:val="1"/>
      <w:marLeft w:val="0"/>
      <w:marRight w:val="0"/>
      <w:marTop w:val="0"/>
      <w:marBottom w:val="0"/>
      <w:divBdr>
        <w:top w:val="none" w:sz="0" w:space="0" w:color="auto"/>
        <w:left w:val="none" w:sz="0" w:space="0" w:color="auto"/>
        <w:bottom w:val="none" w:sz="0" w:space="0" w:color="auto"/>
        <w:right w:val="none" w:sz="0" w:space="0" w:color="auto"/>
      </w:divBdr>
    </w:div>
    <w:div w:id="1502116961">
      <w:bodyDiv w:val="1"/>
      <w:marLeft w:val="0"/>
      <w:marRight w:val="0"/>
      <w:marTop w:val="0"/>
      <w:marBottom w:val="0"/>
      <w:divBdr>
        <w:top w:val="none" w:sz="0" w:space="0" w:color="auto"/>
        <w:left w:val="none" w:sz="0" w:space="0" w:color="auto"/>
        <w:bottom w:val="none" w:sz="0" w:space="0" w:color="auto"/>
        <w:right w:val="none" w:sz="0" w:space="0" w:color="auto"/>
      </w:divBdr>
    </w:div>
    <w:div w:id="1549486917">
      <w:bodyDiv w:val="1"/>
      <w:marLeft w:val="0"/>
      <w:marRight w:val="0"/>
      <w:marTop w:val="0"/>
      <w:marBottom w:val="0"/>
      <w:divBdr>
        <w:top w:val="none" w:sz="0" w:space="0" w:color="auto"/>
        <w:left w:val="none" w:sz="0" w:space="0" w:color="auto"/>
        <w:bottom w:val="none" w:sz="0" w:space="0" w:color="auto"/>
        <w:right w:val="none" w:sz="0" w:space="0" w:color="auto"/>
      </w:divBdr>
    </w:div>
    <w:div w:id="1594585137">
      <w:bodyDiv w:val="1"/>
      <w:marLeft w:val="0"/>
      <w:marRight w:val="0"/>
      <w:marTop w:val="0"/>
      <w:marBottom w:val="0"/>
      <w:divBdr>
        <w:top w:val="none" w:sz="0" w:space="0" w:color="auto"/>
        <w:left w:val="none" w:sz="0" w:space="0" w:color="auto"/>
        <w:bottom w:val="none" w:sz="0" w:space="0" w:color="auto"/>
        <w:right w:val="none" w:sz="0" w:space="0" w:color="auto"/>
      </w:divBdr>
    </w:div>
    <w:div w:id="1678655178">
      <w:bodyDiv w:val="1"/>
      <w:marLeft w:val="0"/>
      <w:marRight w:val="0"/>
      <w:marTop w:val="0"/>
      <w:marBottom w:val="0"/>
      <w:divBdr>
        <w:top w:val="none" w:sz="0" w:space="0" w:color="auto"/>
        <w:left w:val="none" w:sz="0" w:space="0" w:color="auto"/>
        <w:bottom w:val="none" w:sz="0" w:space="0" w:color="auto"/>
        <w:right w:val="none" w:sz="0" w:space="0" w:color="auto"/>
      </w:divBdr>
    </w:div>
    <w:div w:id="1700277641">
      <w:bodyDiv w:val="1"/>
      <w:marLeft w:val="0"/>
      <w:marRight w:val="0"/>
      <w:marTop w:val="0"/>
      <w:marBottom w:val="0"/>
      <w:divBdr>
        <w:top w:val="none" w:sz="0" w:space="0" w:color="auto"/>
        <w:left w:val="none" w:sz="0" w:space="0" w:color="auto"/>
        <w:bottom w:val="none" w:sz="0" w:space="0" w:color="auto"/>
        <w:right w:val="none" w:sz="0" w:space="0" w:color="auto"/>
      </w:divBdr>
    </w:div>
    <w:div w:id="1850410364">
      <w:bodyDiv w:val="1"/>
      <w:marLeft w:val="0"/>
      <w:marRight w:val="0"/>
      <w:marTop w:val="0"/>
      <w:marBottom w:val="0"/>
      <w:divBdr>
        <w:top w:val="none" w:sz="0" w:space="0" w:color="auto"/>
        <w:left w:val="none" w:sz="0" w:space="0" w:color="auto"/>
        <w:bottom w:val="none" w:sz="0" w:space="0" w:color="auto"/>
        <w:right w:val="none" w:sz="0" w:space="0" w:color="auto"/>
      </w:divBdr>
    </w:div>
    <w:div w:id="1913469385">
      <w:bodyDiv w:val="1"/>
      <w:marLeft w:val="0"/>
      <w:marRight w:val="0"/>
      <w:marTop w:val="0"/>
      <w:marBottom w:val="0"/>
      <w:divBdr>
        <w:top w:val="none" w:sz="0" w:space="0" w:color="auto"/>
        <w:left w:val="none" w:sz="0" w:space="0" w:color="auto"/>
        <w:bottom w:val="none" w:sz="0" w:space="0" w:color="auto"/>
        <w:right w:val="none" w:sz="0" w:space="0" w:color="auto"/>
      </w:divBdr>
    </w:div>
    <w:div w:id="2078744079">
      <w:bodyDiv w:val="1"/>
      <w:marLeft w:val="0"/>
      <w:marRight w:val="0"/>
      <w:marTop w:val="0"/>
      <w:marBottom w:val="0"/>
      <w:divBdr>
        <w:top w:val="none" w:sz="0" w:space="0" w:color="auto"/>
        <w:left w:val="none" w:sz="0" w:space="0" w:color="auto"/>
        <w:bottom w:val="none" w:sz="0" w:space="0" w:color="auto"/>
        <w:right w:val="none" w:sz="0" w:space="0" w:color="auto"/>
      </w:divBdr>
    </w:div>
    <w:div w:id="2079815344">
      <w:bodyDiv w:val="1"/>
      <w:marLeft w:val="0"/>
      <w:marRight w:val="0"/>
      <w:marTop w:val="0"/>
      <w:marBottom w:val="0"/>
      <w:divBdr>
        <w:top w:val="none" w:sz="0" w:space="0" w:color="auto"/>
        <w:left w:val="none" w:sz="0" w:space="0" w:color="auto"/>
        <w:bottom w:val="none" w:sz="0" w:space="0" w:color="auto"/>
        <w:right w:val="none" w:sz="0" w:space="0" w:color="auto"/>
      </w:divBdr>
    </w:div>
    <w:div w:id="2104644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4/relationships/chartEx" Target="charts/chartEx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yolon\Desktop\&#26032;&#24314;%20Microsoft%20Excel%20&#24037;&#20316;&#3492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yolon\Desktop\&#26032;&#24314;%20Microsoft%20Excel%20&#24037;&#20316;&#34920;.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yolon\Desktop\&#26032;&#24314;%20Microsoft%20Excel%20&#24037;&#20316;&#34920;.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yolon\Desktop\&#26032;&#24314;%20Microsoft%20Excel%20&#24037;&#20316;&#34920;.xlsx" TargetMode="External"/><Relationship Id="rId2" Type="http://schemas.microsoft.com/office/2011/relationships/chartColorStyle" Target="colors4.xml"/><Relationship Id="rId1" Type="http://schemas.microsoft.com/office/2011/relationships/chartStyle" Target="style4.xml"/></Relationships>
</file>

<file path=word/charts/_rels/chartEx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yolon\Desktop\&#26032;&#24314;%20Microsoft%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a:latin typeface="Arial" panose="020B0604020202020204" pitchFamily="34" charset="0"/>
                <a:cs typeface="Arial" panose="020B0604020202020204" pitchFamily="34" charset="0"/>
              </a:rPr>
              <a:t>Figure</a:t>
            </a:r>
            <a:r>
              <a:rPr lang="en-US" altLang="zh-CN" sz="1200" baseline="0">
                <a:latin typeface="Arial" panose="020B0604020202020204" pitchFamily="34" charset="0"/>
                <a:cs typeface="Arial" panose="020B0604020202020204" pitchFamily="34" charset="0"/>
              </a:rPr>
              <a:t> 1. The type of cases</a:t>
            </a:r>
            <a:endParaRPr lang="zh-CN" altLang="en-US" sz="1200">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85A-4703-948C-1573B05F1CE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85A-4703-948C-1573B05F1CE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85A-4703-948C-1573B05F1CE0}"/>
              </c:ext>
            </c:extLst>
          </c:dPt>
          <c:dLbls>
            <c:dLbl>
              <c:idx val="0"/>
              <c:layout>
                <c:manualLayout>
                  <c:x val="4.6325878594249206E-2"/>
                  <c:y val="3.7918074512897609E-2"/>
                </c:manualLayout>
              </c:layout>
              <c:tx>
                <c:rich>
                  <a:bodyPr/>
                  <a:lstStyle/>
                  <a:p>
                    <a:fld id="{A1FB905C-F2A5-4A7A-ADB1-06DAF049EB48}" type="CATEGORYNAME">
                      <a:rPr lang="en-US" altLang="zh-CN" sz="1000">
                        <a:latin typeface="Times New Roman" panose="02020603050405020304" pitchFamily="18" charset="0"/>
                        <a:cs typeface="Times New Roman" panose="02020603050405020304" pitchFamily="18" charset="0"/>
                      </a:rPr>
                      <a:pPr/>
                      <a:t>[类别名称]</a:t>
                    </a:fld>
                    <a:r>
                      <a:rPr lang="en-US" altLang="zh-CN" sz="1000" baseline="0">
                        <a:latin typeface="Times New Roman" panose="02020603050405020304" pitchFamily="18" charset="0"/>
                        <a:cs typeface="Times New Roman" panose="02020603050405020304" pitchFamily="18" charset="0"/>
                      </a:rPr>
                      <a:t>, </a:t>
                    </a:r>
                    <a:fld id="{B71CD46C-67A4-411B-9FE4-9D8D7C0C8495}" type="VALUE">
                      <a:rPr lang="en-US" altLang="zh-CN" sz="1000" baseline="0">
                        <a:latin typeface="Times New Roman" panose="02020603050405020304" pitchFamily="18" charset="0"/>
                        <a:cs typeface="Times New Roman" panose="02020603050405020304" pitchFamily="18" charset="0"/>
                      </a:rPr>
                      <a:pPr/>
                      <a:t>[值]</a:t>
                    </a:fld>
                    <a:r>
                      <a:rPr lang="en-US" altLang="zh-CN" sz="1000" baseline="0">
                        <a:latin typeface="Times New Roman" panose="02020603050405020304" pitchFamily="18" charset="0"/>
                        <a:cs typeface="Times New Roman" panose="02020603050405020304" pitchFamily="18" charset="0"/>
                      </a:rPr>
                      <a:t>, </a:t>
                    </a:r>
                    <a:fld id="{23347F8A-A597-464C-A94B-221248213034}" type="PERCENTAGE">
                      <a:rPr lang="en-US" altLang="zh-CN" sz="1000" baseline="0">
                        <a:latin typeface="Times New Roman" panose="02020603050405020304" pitchFamily="18" charset="0"/>
                        <a:cs typeface="Times New Roman" panose="02020603050405020304" pitchFamily="18" charset="0"/>
                      </a:rPr>
                      <a:pPr/>
                      <a:t>[百分比]</a:t>
                    </a:fld>
                    <a:endParaRPr lang="en-US" altLang="zh-CN" sz="1000" baseline="0">
                      <a:latin typeface="Times New Roman" panose="02020603050405020304" pitchFamily="18" charset="0"/>
                      <a:cs typeface="Times New Roman" panose="02020603050405020304" pitchFamily="18" charset="0"/>
                    </a:endParaRPr>
                  </a:p>
                </c:rich>
              </c:tx>
              <c:dLblPos val="bestFit"/>
              <c:showLegendKey val="0"/>
              <c:showVal val="1"/>
              <c:showCatName val="1"/>
              <c:showSerName val="0"/>
              <c:showPercent val="1"/>
              <c:showBubbleSize val="0"/>
              <c:extLst>
                <c:ext xmlns:c15="http://schemas.microsoft.com/office/drawing/2012/chart" uri="{CE6537A1-D6FC-4f65-9D91-7224C49458BB}">
                  <c15:layout>
                    <c:manualLayout>
                      <c:w val="0.22932907348242812"/>
                      <c:h val="0.12287334593572778"/>
                    </c:manualLayout>
                  </c15:layout>
                  <c15:dlblFieldTable/>
                  <c15:showDataLabelsRange val="0"/>
                </c:ext>
                <c:ext xmlns:c16="http://schemas.microsoft.com/office/drawing/2014/chart" uri="{C3380CC4-5D6E-409C-BE32-E72D297353CC}">
                  <c16:uniqueId val="{00000001-385A-4703-948C-1573B05F1CE0}"/>
                </c:ext>
              </c:extLst>
            </c:dLbl>
            <c:dLbl>
              <c:idx val="1"/>
              <c:layout>
                <c:manualLayout>
                  <c:x val="-2.8149190710767065E-3"/>
                  <c:y val="-3.8379530916844352E-2"/>
                </c:manualLayout>
              </c:layout>
              <c:tx>
                <c:rich>
                  <a:bodyPr/>
                  <a:lstStyle/>
                  <a:p>
                    <a:fld id="{9605E9C0-07D9-4609-A749-E25B267F8E93}" type="CATEGORYNAME">
                      <a:rPr lang="en-US" altLang="zh-CN"/>
                      <a:pPr/>
                      <a:t>[类别名称]</a:t>
                    </a:fld>
                    <a:r>
                      <a:rPr lang="en-US" altLang="zh-CN" baseline="0"/>
                      <a:t>, </a:t>
                    </a:r>
                    <a:fld id="{D7633FE2-6B8A-4F1A-A685-3E9E4F0FEECC}" type="VALUE">
                      <a:rPr lang="en-US" altLang="zh-CN" sz="1050" baseline="0">
                        <a:latin typeface="Times New Roman" panose="02020603050405020304" pitchFamily="18" charset="0"/>
                        <a:cs typeface="Times New Roman" panose="02020603050405020304" pitchFamily="18" charset="0"/>
                      </a:rPr>
                      <a:pPr/>
                      <a:t>[值]</a:t>
                    </a:fld>
                    <a:r>
                      <a:rPr lang="en-US" altLang="zh-CN" baseline="0"/>
                      <a:t>, </a:t>
                    </a:r>
                    <a:fld id="{45DA6202-457D-4457-827E-960AF340D6B4}" type="PERCENTAGE">
                      <a:rPr lang="en-US" altLang="zh-CN" baseline="0"/>
                      <a:pPr/>
                      <a:t>[百分比]</a:t>
                    </a:fld>
                    <a:endParaRPr lang="en-US" altLang="zh-CN" baseline="0"/>
                  </a:p>
                </c:rich>
              </c:tx>
              <c:dLblPos val="bestFit"/>
              <c:showLegendKey val="0"/>
              <c:showVal val="1"/>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385A-4703-948C-1573B05F1CE0}"/>
                </c:ext>
              </c:extLst>
            </c:dLbl>
            <c:dLbl>
              <c:idx val="2"/>
              <c:layout>
                <c:manualLayout>
                  <c:x val="1.688951442646024E-2"/>
                  <c:y val="5.9701492537313432E-2"/>
                </c:manualLayout>
              </c:layout>
              <c:tx>
                <c:rich>
                  <a:bodyPr/>
                  <a:lstStyle/>
                  <a:p>
                    <a:fld id="{F64CE51C-0D96-4B15-BCBF-47E8F998AC5C}" type="CATEGORYNAME">
                      <a:rPr lang="en-US" altLang="zh-CN" sz="1000">
                        <a:latin typeface="Times New Roman" panose="02020603050405020304" pitchFamily="18" charset="0"/>
                        <a:cs typeface="Times New Roman" panose="02020603050405020304" pitchFamily="18" charset="0"/>
                      </a:rPr>
                      <a:pPr/>
                      <a:t>[类别名称]</a:t>
                    </a:fld>
                    <a:r>
                      <a:rPr lang="en-US" altLang="zh-CN" sz="1050" baseline="0">
                        <a:latin typeface="Times New Roman" panose="02020603050405020304" pitchFamily="18" charset="0"/>
                        <a:cs typeface="Times New Roman" panose="02020603050405020304" pitchFamily="18" charset="0"/>
                      </a:rPr>
                      <a:t>,</a:t>
                    </a:r>
                    <a:r>
                      <a:rPr lang="en-US" altLang="zh-CN" sz="1000" baseline="0">
                        <a:latin typeface="Times New Roman" panose="02020603050405020304" pitchFamily="18" charset="0"/>
                        <a:cs typeface="Times New Roman" panose="02020603050405020304" pitchFamily="18" charset="0"/>
                      </a:rPr>
                      <a:t> </a:t>
                    </a:r>
                    <a:fld id="{44B1B21D-DED8-40B9-874F-EB95BEA096F1}" type="VALUE">
                      <a:rPr lang="en-US" altLang="zh-CN" sz="1000" baseline="0">
                        <a:latin typeface="Times New Roman" panose="02020603050405020304" pitchFamily="18" charset="0"/>
                        <a:cs typeface="Times New Roman" panose="02020603050405020304" pitchFamily="18" charset="0"/>
                      </a:rPr>
                      <a:pPr/>
                      <a:t>[值]</a:t>
                    </a:fld>
                    <a:r>
                      <a:rPr lang="en-US" altLang="zh-CN" sz="1000" baseline="0">
                        <a:latin typeface="Times New Roman" panose="02020603050405020304" pitchFamily="18" charset="0"/>
                        <a:cs typeface="Times New Roman" panose="02020603050405020304" pitchFamily="18" charset="0"/>
                      </a:rPr>
                      <a:t>, </a:t>
                    </a:r>
                    <a:fld id="{30A827BF-BC29-4A16-821D-9E8A5F07E09C}" type="PERCENTAGE">
                      <a:rPr lang="en-US" altLang="zh-CN" sz="1000" baseline="0">
                        <a:latin typeface="Times New Roman" panose="02020603050405020304" pitchFamily="18" charset="0"/>
                        <a:cs typeface="Times New Roman" panose="02020603050405020304" pitchFamily="18" charset="0"/>
                      </a:rPr>
                      <a:pPr/>
                      <a:t>[百分比]</a:t>
                    </a:fld>
                    <a:endParaRPr lang="en-US" altLang="zh-CN" sz="1000" baseline="0">
                      <a:latin typeface="Times New Roman" panose="02020603050405020304" pitchFamily="18" charset="0"/>
                      <a:cs typeface="Times New Roman" panose="02020603050405020304" pitchFamily="18" charset="0"/>
                    </a:endParaRPr>
                  </a:p>
                </c:rich>
              </c:tx>
              <c:dLblPos val="bestFit"/>
              <c:showLegendKey val="0"/>
              <c:showVal val="1"/>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385A-4703-948C-1573B05F1CE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Sheet1!$C$9:$C$11</c:f>
              <c:strCache>
                <c:ptCount val="3"/>
                <c:pt idx="0">
                  <c:v>administrative</c:v>
                </c:pt>
                <c:pt idx="1">
                  <c:v>criminal·</c:v>
                </c:pt>
                <c:pt idx="2">
                  <c:v>civil</c:v>
                </c:pt>
              </c:strCache>
            </c:strRef>
          </c:cat>
          <c:val>
            <c:numRef>
              <c:f>Sheet1!$D$9:$D$11</c:f>
              <c:numCache>
                <c:formatCode>General</c:formatCode>
                <c:ptCount val="3"/>
                <c:pt idx="0">
                  <c:v>8</c:v>
                </c:pt>
                <c:pt idx="1">
                  <c:v>16</c:v>
                </c:pt>
                <c:pt idx="2">
                  <c:v>23</c:v>
                </c:pt>
              </c:numCache>
            </c:numRef>
          </c:val>
          <c:extLst>
            <c:ext xmlns:c16="http://schemas.microsoft.com/office/drawing/2014/chart" uri="{C3380CC4-5D6E-409C-BE32-E72D297353CC}">
              <c16:uniqueId val="{00000006-385A-4703-948C-1573B05F1CE0}"/>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a:latin typeface="Times New Roman" panose="02020603050405020304" pitchFamily="18" charset="0"/>
                <a:cs typeface="Times New Roman" panose="02020603050405020304" pitchFamily="18" charset="0"/>
              </a:rPr>
              <a:t>Figure 2</a:t>
            </a:r>
            <a:r>
              <a:rPr lang="en-US" altLang="zh-CN" sz="1200" baseline="0">
                <a:latin typeface="Times New Roman" panose="02020603050405020304" pitchFamily="18" charset="0"/>
                <a:cs typeface="Times New Roman" panose="02020603050405020304" pitchFamily="18" charset="0"/>
              </a:rPr>
              <a:t> Type of trade secret involved in the case</a:t>
            </a:r>
            <a:r>
              <a:rPr lang="en-US" altLang="zh-CN" sz="1200">
                <a:latin typeface="Times New Roman" panose="02020603050405020304" pitchFamily="18" charset="0"/>
                <a:cs typeface="Times New Roman" panose="02020603050405020304" pitchFamily="18" charset="0"/>
              </a:rPr>
              <a:t> </a:t>
            </a:r>
            <a:endParaRPr lang="zh-CN" altLang="en-US" sz="1200">
              <a:latin typeface="Times New Roman" panose="02020603050405020304" pitchFamily="18" charset="0"/>
              <a:cs typeface="Times New Roman" panose="02020603050405020304" pitchFamily="18" charset="0"/>
            </a:endParaRPr>
          </a:p>
        </c:rich>
      </c:tx>
      <c:layout>
        <c:manualLayout>
          <c:xMode val="edge"/>
          <c:yMode val="edge"/>
          <c:x val="0.60555555555555551"/>
          <c:y val="6.4814814814814811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877-46AF-9EFC-1ED7A030534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877-46AF-9EFC-1ED7A030534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877-46AF-9EFC-1ED7A030534C}"/>
              </c:ext>
            </c:extLst>
          </c:dPt>
          <c:dLbls>
            <c:dLbl>
              <c:idx val="0"/>
              <c:layout>
                <c:manualLayout>
                  <c:x val="-9.4806058423006025E-17"/>
                  <c:y val="0.26019417475728157"/>
                </c:manualLayout>
              </c:layout>
              <c:tx>
                <c:rich>
                  <a:bodyPr/>
                  <a:lstStyle/>
                  <a:p>
                    <a:fld id="{C9074C9F-B9D1-4C13-BB36-24FFC5121731}" type="CATEGORYNAME">
                      <a:rPr lang="en-US" altLang="zh-CN" sz="1050">
                        <a:latin typeface="Times New Roman" panose="02020603050405020304" pitchFamily="18" charset="0"/>
                        <a:cs typeface="Times New Roman" panose="02020603050405020304" pitchFamily="18" charset="0"/>
                      </a:rPr>
                      <a:pPr/>
                      <a:t>[类别名称]</a:t>
                    </a:fld>
                    <a:r>
                      <a:rPr lang="en-US" altLang="zh-CN" baseline="0"/>
                      <a:t>
</a:t>
                    </a:r>
                    <a:fld id="{A6C74F52-97F5-405A-BAB2-F2928527E869}" type="PERCENTAGE">
                      <a:rPr lang="en-US" altLang="zh-CN" baseline="0"/>
                      <a:pPr/>
                      <a:t>[百分比]</a:t>
                    </a:fld>
                    <a:endParaRPr lang="en-US" altLang="zh-CN"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F877-46AF-9EFC-1ED7A030534C}"/>
                </c:ext>
              </c:extLst>
            </c:dLbl>
            <c:dLbl>
              <c:idx val="1"/>
              <c:tx>
                <c:rich>
                  <a:bodyPr/>
                  <a:lstStyle/>
                  <a:p>
                    <a:fld id="{6773CB01-FDBE-4806-8584-5F18D652BA4A}" type="CATEGORYNAME">
                      <a:rPr lang="en-US" altLang="zh-CN" sz="1050">
                        <a:latin typeface="Times New Roman" panose="02020603050405020304" pitchFamily="18" charset="0"/>
                        <a:cs typeface="Times New Roman" panose="02020603050405020304" pitchFamily="18" charset="0"/>
                      </a:rPr>
                      <a:pPr/>
                      <a:t>[类别名称]</a:t>
                    </a:fld>
                    <a:r>
                      <a:rPr lang="en-US" altLang="zh-CN" baseline="0"/>
                      <a:t>
</a:t>
                    </a:r>
                    <a:fld id="{D3BFAEE0-F328-4B60-B895-CF3788B3B22F}" type="PERCENTAGE">
                      <a:rPr lang="en-US" altLang="zh-CN" baseline="0"/>
                      <a:pPr/>
                      <a:t>[百分比]</a:t>
                    </a:fld>
                    <a:endParaRPr lang="en-US" altLang="zh-CN" baseline="0"/>
                  </a:p>
                </c:rich>
              </c:tx>
              <c:dLblPos val="out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F877-46AF-9EFC-1ED7A030534C}"/>
                </c:ext>
              </c:extLst>
            </c:dLbl>
            <c:dLbl>
              <c:idx val="2"/>
              <c:layout>
                <c:manualLayout>
                  <c:x val="-0.17936250675310647"/>
                  <c:y val="0.10183875530410184"/>
                </c:manualLayout>
              </c:layout>
              <c:tx>
                <c:rich>
                  <a:bodyPr/>
                  <a:lstStyle/>
                  <a:p>
                    <a:fld id="{A8DECB43-EB09-4B27-86E1-2874EB4844C0}" type="CATEGORYNAME">
                      <a:rPr lang="en-US" altLang="zh-CN" sz="1050">
                        <a:latin typeface="Times New Roman" panose="02020603050405020304" pitchFamily="18" charset="0"/>
                        <a:cs typeface="Times New Roman" panose="02020603050405020304" pitchFamily="18" charset="0"/>
                      </a:rPr>
                      <a:pPr/>
                      <a:t>[类别名称]</a:t>
                    </a:fld>
                    <a:r>
                      <a:rPr lang="en-US" altLang="zh-CN" sz="1050" baseline="0">
                        <a:latin typeface="Times New Roman" panose="02020603050405020304" pitchFamily="18" charset="0"/>
                        <a:cs typeface="Times New Roman" panose="02020603050405020304" pitchFamily="18" charset="0"/>
                      </a:rPr>
                      <a:t>
</a:t>
                    </a:r>
                    <a:fld id="{BBE120E2-2C7B-400B-A2CC-A2216CD2AE27}" type="PERCENTAGE">
                      <a:rPr lang="en-US" altLang="zh-CN" sz="1050" baseline="0">
                        <a:latin typeface="Times New Roman" panose="02020603050405020304" pitchFamily="18" charset="0"/>
                        <a:cs typeface="Times New Roman" panose="02020603050405020304" pitchFamily="18" charset="0"/>
                      </a:rPr>
                      <a:pPr/>
                      <a:t>[百分比]</a:t>
                    </a:fld>
                    <a:endParaRPr lang="en-US" altLang="zh-CN" sz="1050" baseline="0">
                      <a:latin typeface="Times New Roman" panose="02020603050405020304" pitchFamily="18" charset="0"/>
                      <a:cs typeface="Times New Roman" panose="02020603050405020304" pitchFamily="18" charset="0"/>
                    </a:endParaRPr>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F877-46AF-9EFC-1ED7A030534C}"/>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zh-CN"/>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Sheet1!$C$28:$C$30</c:f>
              <c:strCache>
                <c:ptCount val="3"/>
                <c:pt idx="0">
                  <c:v>technological secrets</c:v>
                </c:pt>
                <c:pt idx="1">
                  <c:v>business information secrets</c:v>
                </c:pt>
                <c:pt idx="2">
                  <c:v>technological &amp; business information</c:v>
                </c:pt>
              </c:strCache>
            </c:strRef>
          </c:cat>
          <c:val>
            <c:numRef>
              <c:f>Sheet1!$D$28:$D$30</c:f>
              <c:numCache>
                <c:formatCode>General</c:formatCode>
                <c:ptCount val="3"/>
                <c:pt idx="0">
                  <c:v>26</c:v>
                </c:pt>
                <c:pt idx="1">
                  <c:v>25</c:v>
                </c:pt>
                <c:pt idx="2">
                  <c:v>4</c:v>
                </c:pt>
              </c:numCache>
            </c:numRef>
          </c:val>
          <c:extLst>
            <c:ext xmlns:c16="http://schemas.microsoft.com/office/drawing/2014/chart" uri="{C3380CC4-5D6E-409C-BE32-E72D297353CC}">
              <c16:uniqueId val="{00000006-F877-46AF-9EFC-1ED7A030534C}"/>
            </c:ext>
          </c:extLst>
        </c:ser>
        <c:dLbls>
          <c:showLegendKey val="0"/>
          <c:showVal val="0"/>
          <c:showCatName val="0"/>
          <c:showSerName val="0"/>
          <c:showPercent val="0"/>
          <c:showBubbleSize val="0"/>
          <c:showLeaderLines val="0"/>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a:latin typeface="Times New Roman" panose="02020603050405020304" pitchFamily="18" charset="0"/>
                <a:cs typeface="Times New Roman" panose="02020603050405020304" pitchFamily="18" charset="0"/>
              </a:rPr>
              <a:t>Figure 3. Industry involved in the cases</a:t>
            </a:r>
            <a:endParaRPr lang="zh-CN" altLang="en-US" sz="12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7.8058414806072118E-2"/>
          <c:y val="9.2208939622971428E-2"/>
          <c:w val="0.90262539759268035"/>
          <c:h val="0.59242815227470991"/>
        </c:manualLayout>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Sheet1!$C$48:$C$59</c:f>
              <c:strCache>
                <c:ptCount val="12"/>
                <c:pt idx="0">
                  <c:v>materials &amp; chemicals</c:v>
                </c:pt>
                <c:pt idx="1">
                  <c:v>machinery</c:v>
                </c:pt>
                <c:pt idx="2">
                  <c:v>IT</c:v>
                </c:pt>
                <c:pt idx="3">
                  <c:v>life sciences and biotechnology</c:v>
                </c:pt>
                <c:pt idx="4">
                  <c:v>household goods</c:v>
                </c:pt>
                <c:pt idx="5">
                  <c:v>education and training</c:v>
                </c:pt>
                <c:pt idx="6">
                  <c:v>intellectual property services </c:v>
                </c:pt>
                <c:pt idx="7">
                  <c:v>catering </c:v>
                </c:pt>
                <c:pt idx="8">
                  <c:v>trade </c:v>
                </c:pt>
                <c:pt idx="9">
                  <c:v>science and technology promotion and application</c:v>
                </c:pt>
                <c:pt idx="10">
                  <c:v>film &amp; entertainment</c:v>
                </c:pt>
                <c:pt idx="11">
                  <c:v> corporate consulting</c:v>
                </c:pt>
              </c:strCache>
            </c:strRef>
          </c:cat>
          <c:val>
            <c:numRef>
              <c:f>Sheet1!$D$48:$D$59</c:f>
              <c:numCache>
                <c:formatCode>General</c:formatCode>
                <c:ptCount val="12"/>
                <c:pt idx="0">
                  <c:v>13</c:v>
                </c:pt>
                <c:pt idx="1">
                  <c:v>10</c:v>
                </c:pt>
                <c:pt idx="2">
                  <c:v>7</c:v>
                </c:pt>
                <c:pt idx="3">
                  <c:v>3</c:v>
                </c:pt>
                <c:pt idx="4">
                  <c:v>3</c:v>
                </c:pt>
                <c:pt idx="5">
                  <c:v>2</c:v>
                </c:pt>
                <c:pt idx="6">
                  <c:v>2</c:v>
                </c:pt>
                <c:pt idx="7">
                  <c:v>2</c:v>
                </c:pt>
                <c:pt idx="8">
                  <c:v>2</c:v>
                </c:pt>
                <c:pt idx="9">
                  <c:v>1</c:v>
                </c:pt>
                <c:pt idx="10">
                  <c:v>1</c:v>
                </c:pt>
                <c:pt idx="11">
                  <c:v>1</c:v>
                </c:pt>
              </c:numCache>
            </c:numRef>
          </c:val>
          <c:extLst>
            <c:ext xmlns:c16="http://schemas.microsoft.com/office/drawing/2014/chart" uri="{C3380CC4-5D6E-409C-BE32-E72D297353CC}">
              <c16:uniqueId val="{00000000-EAD9-4749-AAD4-13217CFFD926}"/>
            </c:ext>
          </c:extLst>
        </c:ser>
        <c:dLbls>
          <c:dLblPos val="outEnd"/>
          <c:showLegendKey val="0"/>
          <c:showVal val="1"/>
          <c:showCatName val="0"/>
          <c:showSerName val="0"/>
          <c:showPercent val="0"/>
          <c:showBubbleSize val="0"/>
        </c:dLbls>
        <c:gapWidth val="219"/>
        <c:overlap val="-27"/>
        <c:axId val="1487642959"/>
        <c:axId val="1372424415"/>
      </c:barChart>
      <c:catAx>
        <c:axId val="148764295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372424415"/>
        <c:crosses val="autoZero"/>
        <c:auto val="1"/>
        <c:lblAlgn val="ctr"/>
        <c:lblOffset val="100"/>
        <c:noMultiLvlLbl val="0"/>
      </c:catAx>
      <c:valAx>
        <c:axId val="137242441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487642959"/>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a:latin typeface="Times New Roman" panose="02020603050405020304" pitchFamily="18" charset="0"/>
                <a:cs typeface="Times New Roman" panose="02020603050405020304" pitchFamily="18" charset="0"/>
              </a:rPr>
              <a:t>Figure</a:t>
            </a:r>
            <a:r>
              <a:rPr lang="en-US" altLang="zh-CN" sz="1200" baseline="0">
                <a:latin typeface="Times New Roman" panose="02020603050405020304" pitchFamily="18" charset="0"/>
                <a:cs typeface="Times New Roman" panose="02020603050405020304" pitchFamily="18" charset="0"/>
              </a:rPr>
              <a:t> 4. Province in which the case was tried</a:t>
            </a:r>
            <a:endParaRPr lang="zh-CN" altLang="en-US" sz="12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Sheet1!$D$71:$D$83</c:f>
              <c:strCache>
                <c:ptCount val="13"/>
                <c:pt idx="0">
                  <c:v>Zhejiang</c:v>
                </c:pt>
                <c:pt idx="1">
                  <c:v>Guangdong</c:v>
                </c:pt>
                <c:pt idx="2">
                  <c:v>Shandong</c:v>
                </c:pt>
                <c:pt idx="3">
                  <c:v>Beijng</c:v>
                </c:pt>
                <c:pt idx="4">
                  <c:v>Fujian</c:v>
                </c:pt>
                <c:pt idx="5">
                  <c:v>Hebei</c:v>
                </c:pt>
                <c:pt idx="6">
                  <c:v>Henan</c:v>
                </c:pt>
                <c:pt idx="7">
                  <c:v>Jiangsu</c:v>
                </c:pt>
                <c:pt idx="8">
                  <c:v>Shanghai</c:v>
                </c:pt>
                <c:pt idx="9">
                  <c:v>Chongqing</c:v>
                </c:pt>
                <c:pt idx="10">
                  <c:v>Anhui</c:v>
                </c:pt>
                <c:pt idx="11">
                  <c:v>Liaoning</c:v>
                </c:pt>
                <c:pt idx="12">
                  <c:v>Qinghai</c:v>
                </c:pt>
              </c:strCache>
            </c:strRef>
          </c:cat>
          <c:val>
            <c:numRef>
              <c:f>Sheet1!$E$71:$E$83</c:f>
              <c:numCache>
                <c:formatCode>General</c:formatCode>
                <c:ptCount val="13"/>
                <c:pt idx="0">
                  <c:v>10</c:v>
                </c:pt>
                <c:pt idx="1">
                  <c:v>9</c:v>
                </c:pt>
                <c:pt idx="2">
                  <c:v>7</c:v>
                </c:pt>
                <c:pt idx="3">
                  <c:v>4</c:v>
                </c:pt>
                <c:pt idx="4">
                  <c:v>3</c:v>
                </c:pt>
                <c:pt idx="5">
                  <c:v>2</c:v>
                </c:pt>
                <c:pt idx="6">
                  <c:v>2</c:v>
                </c:pt>
                <c:pt idx="7">
                  <c:v>2</c:v>
                </c:pt>
                <c:pt idx="8">
                  <c:v>2</c:v>
                </c:pt>
                <c:pt idx="9">
                  <c:v>2</c:v>
                </c:pt>
                <c:pt idx="10">
                  <c:v>1</c:v>
                </c:pt>
                <c:pt idx="11">
                  <c:v>1</c:v>
                </c:pt>
                <c:pt idx="12">
                  <c:v>1</c:v>
                </c:pt>
              </c:numCache>
            </c:numRef>
          </c:val>
          <c:extLst>
            <c:ext xmlns:c16="http://schemas.microsoft.com/office/drawing/2014/chart" uri="{C3380CC4-5D6E-409C-BE32-E72D297353CC}">
              <c16:uniqueId val="{00000000-0E13-42F5-8A2B-3DB4F0B5F5D9}"/>
            </c:ext>
          </c:extLst>
        </c:ser>
        <c:dLbls>
          <c:dLblPos val="outEnd"/>
          <c:showLegendKey val="0"/>
          <c:showVal val="1"/>
          <c:showCatName val="0"/>
          <c:showSerName val="0"/>
          <c:showPercent val="0"/>
          <c:showBubbleSize val="0"/>
        </c:dLbls>
        <c:gapWidth val="219"/>
        <c:overlap val="-27"/>
        <c:axId val="1550613471"/>
        <c:axId val="1546742591"/>
      </c:barChart>
      <c:catAx>
        <c:axId val="155061347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546742591"/>
        <c:crosses val="autoZero"/>
        <c:auto val="1"/>
        <c:lblAlgn val="ctr"/>
        <c:lblOffset val="100"/>
        <c:noMultiLvlLbl val="0"/>
      </c:catAx>
      <c:valAx>
        <c:axId val="154674259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55061347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Ex1.xml><?xml version="1.0" encoding="utf-8"?>
<cx:chartSpace xmlns:a="http://schemas.openxmlformats.org/drawingml/2006/main" xmlns:r="http://schemas.openxmlformats.org/officeDocument/2006/relationships" xmlns:cx="http://schemas.microsoft.com/office/drawing/2014/chartex">
  <cx:chartData>
    <cx:externalData r:id="rId1" cx:autoUpdate="0"/>
    <cx:data id="0">
      <cx:strDim type="cat">
        <cx:f>Sheet1!$C$98:$C$100</cx:f>
        <cx:lvl ptCount="3">
          <cx:pt idx="0">foreign vs. local</cx:pt>
          <cx:pt idx="1">local vs. foreign</cx:pt>
          <cx:pt idx="2">foreign vs. foreign</cx:pt>
        </cx:lvl>
      </cx:strDim>
      <cx:numDim type="size">
        <cx:f>Sheet1!$D$98:$D$100</cx:f>
        <cx:lvl ptCount="3" formatCode="G/通用格式">
          <cx:pt idx="0">4</cx:pt>
          <cx:pt idx="1">3</cx:pt>
          <cx:pt idx="2">2</cx:pt>
        </cx:lvl>
      </cx:numDim>
    </cx:data>
  </cx:chartData>
  <cx:chart>
    <cx:title pos="t" align="ctr" overlay="0">
      <cx:tx>
        <cx:rich>
          <a:bodyPr spcFirstLastPara="1" vertOverflow="ellipsis" horzOverflow="overflow" wrap="square" lIns="0" tIns="0" rIns="0" bIns="0" anchor="ctr" anchorCtr="1"/>
          <a:lstStyle/>
          <a:p>
            <a:pPr algn="ctr" rtl="0">
              <a:defRPr/>
            </a:pPr>
            <a:r>
              <a:rPr lang="en-US" altLang="zh-CN" sz="1400" b="0" i="0" u="none" strike="noStrike" baseline="0">
                <a:solidFill>
                  <a:sysClr val="windowText" lastClr="000000">
                    <a:lumMod val="65000"/>
                    <a:lumOff val="35000"/>
                  </a:sysClr>
                </a:solidFill>
                <a:latin typeface="Times New Roman" panose="02020603050405020304" pitchFamily="18" charset="0"/>
                <a:ea typeface="等线" panose="02010600030101010101" pitchFamily="2" charset="-122"/>
                <a:cs typeface="Times New Roman" panose="02020603050405020304" pitchFamily="18" charset="0"/>
              </a:rPr>
              <a:t>Figure 5. The cases involved foreign parties</a:t>
            </a:r>
            <a:endParaRPr lang="zh-CN" altLang="en-US" sz="1400" b="0" i="0" u="none" strike="noStrike" baseline="0">
              <a:solidFill>
                <a:sysClr val="windowText" lastClr="000000">
                  <a:lumMod val="65000"/>
                  <a:lumOff val="35000"/>
                </a:sysClr>
              </a:solidFill>
              <a:latin typeface="Times New Roman" panose="02020603050405020304" pitchFamily="18" charset="0"/>
              <a:ea typeface="等线" panose="02010600030101010101" pitchFamily="2" charset="-122"/>
              <a:cs typeface="Times New Roman" panose="02020603050405020304" pitchFamily="18" charset="0"/>
            </a:endParaRPr>
          </a:p>
        </cx:rich>
      </cx:tx>
    </cx:title>
    <cx:plotArea>
      <cx:plotAreaRegion>
        <cx:series layoutId="treemap" uniqueId="{E4D0D727-7315-49E5-AEC5-92EB2A380CE7}">
          <cx:dataLabels pos="inEnd">
            <cx:visibility seriesName="0" categoryName="1" value="1"/>
            <cx:separator>, </cx:separator>
          </cx:dataLabels>
          <cx:dataId val="0"/>
          <cx:layoutPr>
            <cx:parentLabelLayout val="overlapping"/>
          </cx:layoutPr>
        </cx:series>
      </cx:plotAreaRegion>
    </cx:plotArea>
    <cx:legend pos="t" align="ctr" overlay="0"/>
  </cx:chart>
</cx: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410">
  <cs:axisTitle>
    <cs:lnRef idx="0"/>
    <cs:fillRef idx="0"/>
    <cs:effectRef idx="0"/>
    <cs:fontRef idx="minor">
      <a:schemeClr val="tx1">
        <a:lumMod val="65000"/>
        <a:lumOff val="35000"/>
      </a:schemeClr>
    </cs:fontRef>
    <cs:spPr>
      <a:solidFill>
        <a:schemeClr val="bg1">
          <a:lumMod val="65000"/>
        </a:schemeClr>
      </a:solidFill>
      <a:ln w="19050">
        <a:solidFill>
          <a:schemeClr val="bg1"/>
        </a:solidFill>
      </a:ln>
    </cs:spPr>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lt1"/>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ln w="19050">
        <a:solidFill>
          <a:schemeClr val="lt1"/>
        </a:solidFill>
      </a:ln>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EEB8B5-8523-4A09-9CA8-EF4A0249E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639</TotalTime>
  <Pages>11</Pages>
  <Words>4653</Words>
  <Characters>26524</Characters>
  <Application>Microsoft Office Word</Application>
  <DocSecurity>0</DocSecurity>
  <Lines>221</Lines>
  <Paragraphs>62</Paragraphs>
  <ScaleCrop>false</ScaleCrop>
  <Company>http://sdwm.org</Company>
  <LinksUpToDate>false</LinksUpToDate>
  <CharactersWithSpaces>31115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cp:lastModifiedBy>Jerry F. Xia</cp:lastModifiedBy>
  <cp:revision>352</cp:revision>
  <cp:lastPrinted>2018-12-04T02:10:00Z</cp:lastPrinted>
  <dcterms:created xsi:type="dcterms:W3CDTF">2019-03-06T03:09:00Z</dcterms:created>
  <dcterms:modified xsi:type="dcterms:W3CDTF">2020-07-06T15:10:00Z</dcterms:modified>
</cp:coreProperties>
</file>