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4AF6" w:rsidRPr="00360D3C" w:rsidRDefault="001154ED" w:rsidP="00954AF6">
      <w:pPr>
        <w:pStyle w:val="NoSpacing"/>
        <w:jc w:val="center"/>
        <w:rPr>
          <w:b/>
          <w:bCs/>
          <w:sz w:val="36"/>
        </w:rPr>
      </w:pPr>
      <w:bookmarkStart w:id="0" w:name="_GoBack"/>
      <w:bookmarkEnd w:id="0"/>
      <w:r w:rsidRPr="001154ED">
        <w:rPr>
          <w:noProof/>
          <w:lang w:eastAsia="zh-CN"/>
        </w:rPr>
        <w:drawing>
          <wp:anchor distT="0" distB="0" distL="114300" distR="114300" simplePos="0" relativeHeight="251659264" behindDoc="1" locked="0" layoutInCell="1" allowOverlap="1" wp14:anchorId="0D059AD4" wp14:editId="2B1160E7">
            <wp:simplePos x="0" y="0"/>
            <wp:positionH relativeFrom="page">
              <wp:posOffset>25515</wp:posOffset>
            </wp:positionH>
            <wp:positionV relativeFrom="page">
              <wp:posOffset>16749</wp:posOffset>
            </wp:positionV>
            <wp:extent cx="7757962" cy="100397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nd Illustrator starter page no bleed letter.em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57962" cy="10039715"/>
                    </a:xfrm>
                    <a:prstGeom prst="rect">
                      <a:avLst/>
                    </a:prstGeom>
                  </pic:spPr>
                </pic:pic>
              </a:graphicData>
            </a:graphic>
            <wp14:sizeRelH relativeFrom="margin">
              <wp14:pctWidth>0</wp14:pctWidth>
            </wp14:sizeRelH>
            <wp14:sizeRelV relativeFrom="margin">
              <wp14:pctHeight>0</wp14:pctHeight>
            </wp14:sizeRelV>
          </wp:anchor>
        </w:drawing>
      </w:r>
      <w:r w:rsidR="00954AF6" w:rsidRPr="00360D3C">
        <w:rPr>
          <w:b/>
          <w:bCs/>
          <w:sz w:val="36"/>
        </w:rPr>
        <w:t>English Translation</w:t>
      </w:r>
      <w:r w:rsidR="00954AF6" w:rsidRPr="00360D3C">
        <w:rPr>
          <w:rStyle w:val="FootnoteReference"/>
          <w:b/>
          <w:bCs/>
          <w:sz w:val="36"/>
        </w:rPr>
        <w:footnoteReference w:id="1"/>
      </w:r>
      <w:r w:rsidR="00954AF6" w:rsidRPr="00360D3C">
        <w:rPr>
          <w:b/>
          <w:bCs/>
          <w:sz w:val="36"/>
        </w:rPr>
        <w:t xml:space="preserve"> </w:t>
      </w:r>
    </w:p>
    <w:p w:rsidR="00954AF6" w:rsidRDefault="00D33AD8" w:rsidP="00954AF6">
      <w:pPr>
        <w:pStyle w:val="NoSpacing"/>
        <w:jc w:val="center"/>
        <w:rPr>
          <w:b/>
          <w:bCs/>
          <w:sz w:val="36"/>
        </w:rPr>
      </w:pPr>
      <w:r>
        <w:rPr>
          <w:b/>
          <w:bCs/>
          <w:sz w:val="36"/>
        </w:rPr>
        <w:t>o</w:t>
      </w:r>
      <w:r w:rsidR="00954AF6" w:rsidRPr="00360D3C">
        <w:rPr>
          <w:b/>
          <w:bCs/>
          <w:sz w:val="36"/>
        </w:rPr>
        <w:t>f</w:t>
      </w:r>
    </w:p>
    <w:p w:rsidR="00676114" w:rsidRPr="00676114" w:rsidRDefault="00676114" w:rsidP="00676114">
      <w:pPr>
        <w:pStyle w:val="NormalWeb"/>
        <w:shd w:val="clear" w:color="auto" w:fill="FFFFFF"/>
        <w:spacing w:before="0" w:beforeAutospacing="0" w:after="0" w:afterAutospacing="0" w:line="400" w:lineRule="exact"/>
        <w:jc w:val="center"/>
        <w:rPr>
          <w:rFonts w:asciiTheme="minorHAnsi" w:eastAsia="Microsoft YaHei" w:hAnsiTheme="minorHAnsi" w:cstheme="minorHAnsi"/>
          <w:b/>
          <w:sz w:val="36"/>
          <w:szCs w:val="36"/>
        </w:rPr>
      </w:pPr>
      <w:r w:rsidRPr="00676114">
        <w:rPr>
          <w:rFonts w:asciiTheme="minorHAnsi" w:eastAsia="Microsoft YaHei" w:hAnsiTheme="minorHAnsi" w:cstheme="minorHAnsi"/>
          <w:b/>
          <w:sz w:val="36"/>
          <w:szCs w:val="36"/>
        </w:rPr>
        <w:t>Provisions of the Supreme People’s Court on Several Issues Concerning Application of Law to the Trial of Patent Civil Cases Involving the Review and Approval for Drug Marketing</w:t>
      </w:r>
    </w:p>
    <w:p w:rsidR="00676114" w:rsidRPr="00676114" w:rsidRDefault="00676114" w:rsidP="00676114">
      <w:pPr>
        <w:pStyle w:val="NormalWeb"/>
        <w:shd w:val="clear" w:color="auto" w:fill="FFFFFF"/>
        <w:spacing w:before="0" w:beforeAutospacing="0" w:after="0" w:afterAutospacing="0" w:line="400" w:lineRule="exact"/>
        <w:jc w:val="center"/>
        <w:rPr>
          <w:rFonts w:asciiTheme="minorHAnsi" w:eastAsia="Microsoft YaHei" w:hAnsiTheme="minorHAnsi" w:cstheme="minorHAnsi"/>
          <w:b/>
          <w:sz w:val="36"/>
          <w:szCs w:val="36"/>
        </w:rPr>
      </w:pPr>
      <w:r w:rsidRPr="00676114">
        <w:rPr>
          <w:rFonts w:asciiTheme="minorHAnsi" w:eastAsia="Microsoft YaHei" w:hAnsiTheme="minorHAnsi" w:cstheme="minorHAnsi"/>
          <w:b/>
          <w:sz w:val="36"/>
          <w:szCs w:val="36"/>
        </w:rPr>
        <w:t>(Draft for Comment)</w:t>
      </w:r>
    </w:p>
    <w:p w:rsidR="00676114" w:rsidRPr="002A43FE" w:rsidRDefault="00676114" w:rsidP="00676114">
      <w:pPr>
        <w:pStyle w:val="NormalWeb"/>
        <w:shd w:val="clear" w:color="auto" w:fill="FFFFFF"/>
        <w:spacing w:before="0" w:beforeAutospacing="0" w:after="0" w:afterAutospacing="0" w:line="400" w:lineRule="exact"/>
        <w:jc w:val="both"/>
        <w:rPr>
          <w:rFonts w:ascii="Arial" w:eastAsia="Microsoft YaHei" w:hAnsi="Arial" w:cs="Arial"/>
        </w:rPr>
      </w:pP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rPr>
        <w:t xml:space="preserve">For the purpose of proper trial of patent civil cases involving the review and approval for drug marketing, these Provisions are formulated in accordance with the </w:t>
      </w:r>
      <w:r w:rsidRPr="002A43FE">
        <w:rPr>
          <w:rFonts w:ascii="Arial" w:eastAsia="Microsoft YaHei" w:hAnsi="Arial" w:cs="Arial"/>
          <w:i/>
        </w:rPr>
        <w:t>Patent Law of the People’s Republic of China</w:t>
      </w:r>
      <w:r w:rsidRPr="002A43FE">
        <w:rPr>
          <w:rFonts w:ascii="Arial" w:eastAsia="Microsoft YaHei" w:hAnsi="Arial" w:cs="Arial"/>
        </w:rPr>
        <w:t xml:space="preserve">, the </w:t>
      </w:r>
      <w:r w:rsidRPr="002A43FE">
        <w:rPr>
          <w:rFonts w:ascii="Arial" w:eastAsia="Microsoft YaHei" w:hAnsi="Arial" w:cs="Arial"/>
          <w:i/>
        </w:rPr>
        <w:t>Civil Procedure Law of the People’s Republic of China</w:t>
      </w:r>
      <w:r w:rsidRPr="002A43FE">
        <w:rPr>
          <w:rFonts w:ascii="Arial" w:eastAsia="Microsoft YaHei" w:hAnsi="Arial" w:cs="Arial"/>
        </w:rPr>
        <w:t xml:space="preserve"> and other relevant laws and regulations and in combination with the intellectual property trial practice.</w:t>
      </w:r>
    </w:p>
    <w:p w:rsidR="00676114" w:rsidRPr="002A43FE" w:rsidRDefault="00676114" w:rsidP="00676114">
      <w:pPr>
        <w:pStyle w:val="NormalWeb"/>
        <w:shd w:val="clear" w:color="auto" w:fill="FFFFFF"/>
        <w:spacing w:before="0" w:beforeAutospacing="0" w:after="0" w:afterAutospacing="0" w:line="400" w:lineRule="exact"/>
        <w:ind w:firstLineChars="200" w:firstLine="480"/>
        <w:jc w:val="both"/>
        <w:rPr>
          <w:rFonts w:ascii="Arial" w:eastAsia="Microsoft YaHei" w:hAnsi="Arial" w:cs="Arial"/>
        </w:rPr>
      </w:pPr>
      <w:r w:rsidRPr="002A43FE">
        <w:rPr>
          <w:rFonts w:ascii="Arial" w:eastAsia="Microsoft YaHei" w:hAnsi="Arial" w:cs="Arial"/>
          <w:b/>
        </w:rPr>
        <w:t>Article 1</w:t>
      </w:r>
      <w:r w:rsidRPr="002A43FE">
        <w:rPr>
          <w:rFonts w:ascii="Arial" w:eastAsia="Microsoft YaHei" w:hAnsi="Arial" w:cs="Arial"/>
        </w:rPr>
        <w:t xml:space="preserve"> Patent civil cases of first instance involving the review and approval for drug marketing as stipulated in Article 76 of the </w:t>
      </w:r>
      <w:r w:rsidRPr="002A43FE">
        <w:rPr>
          <w:rFonts w:ascii="Arial" w:eastAsia="Microsoft YaHei" w:hAnsi="Arial" w:cs="Arial"/>
          <w:i/>
        </w:rPr>
        <w:t>Patent Law</w:t>
      </w:r>
      <w:r w:rsidRPr="002A43FE">
        <w:rPr>
          <w:rFonts w:ascii="Arial" w:eastAsia="Microsoft YaHei" w:hAnsi="Arial" w:cs="Arial"/>
        </w:rPr>
        <w:t xml:space="preserve"> shall be under the jurisdiction of Beijing Intellectual Property Court.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2</w:t>
      </w:r>
      <w:r w:rsidRPr="002A43FE">
        <w:rPr>
          <w:rFonts w:ascii="Arial" w:eastAsia="Microsoft YaHei" w:hAnsi="Arial" w:cs="Arial"/>
        </w:rPr>
        <w:t xml:space="preserve"> The related patent mentioned in Article 76 of the </w:t>
      </w:r>
      <w:r w:rsidRPr="002A43FE">
        <w:rPr>
          <w:rFonts w:ascii="Arial" w:eastAsia="Microsoft YaHei" w:hAnsi="Arial" w:cs="Arial"/>
          <w:i/>
        </w:rPr>
        <w:t>Patent Law</w:t>
      </w:r>
      <w:r w:rsidRPr="002A43FE">
        <w:rPr>
          <w:rFonts w:ascii="Arial" w:eastAsia="Microsoft YaHei" w:hAnsi="Arial" w:cs="Arial"/>
        </w:rPr>
        <w:t xml:space="preserve"> refers to </w:t>
      </w:r>
      <w:r>
        <w:rPr>
          <w:rFonts w:ascii="Arial" w:eastAsia="Microsoft YaHei" w:hAnsi="Arial" w:cs="Arial"/>
        </w:rPr>
        <w:t xml:space="preserve">the related </w:t>
      </w:r>
      <w:r w:rsidRPr="002A43FE">
        <w:rPr>
          <w:rFonts w:ascii="Arial" w:eastAsia="Microsoft YaHei" w:hAnsi="Arial" w:cs="Arial"/>
        </w:rPr>
        <w:t>patent registered on the China Patent Information Registration Platform for Listed Drugs for an original drug registered and marketed in China.</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rPr>
        <w:t xml:space="preserve">The interested parties mentioned in Article 76 of the </w:t>
      </w:r>
      <w:r w:rsidRPr="002A43FE">
        <w:rPr>
          <w:rFonts w:ascii="Arial" w:eastAsia="Microsoft YaHei" w:hAnsi="Arial" w:cs="Arial"/>
          <w:i/>
        </w:rPr>
        <w:t>Patent Law</w:t>
      </w:r>
      <w:r w:rsidRPr="002A43FE">
        <w:rPr>
          <w:rFonts w:ascii="Arial" w:eastAsia="Microsoft YaHei" w:hAnsi="Arial" w:cs="Arial"/>
        </w:rPr>
        <w:t xml:space="preserve"> refer to a licensee of the related patent mentioned in the preceding paragraph and a holder of the marketing approval of the registered drug. The relevant parties refer to a holder of the related patent </w:t>
      </w:r>
      <w:r w:rsidRPr="002A43FE">
        <w:rPr>
          <w:rFonts w:ascii="Arial" w:eastAsia="Microsoft YaHei" w:hAnsi="Arial" w:cs="Arial"/>
        </w:rPr>
        <w:lastRenderedPageBreak/>
        <w:t>mentioned in the preceding paragraph, interested parties and a marketing approval applicant.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3</w:t>
      </w:r>
      <w:r w:rsidRPr="002A43FE">
        <w:rPr>
          <w:rFonts w:ascii="Arial" w:eastAsia="Microsoft YaHei" w:hAnsi="Arial" w:cs="Arial"/>
        </w:rPr>
        <w:t xml:space="preserve"> Where a party brings an action mentioned in Article 76 of the </w:t>
      </w:r>
      <w:r w:rsidRPr="002A43FE">
        <w:rPr>
          <w:rFonts w:ascii="Arial" w:eastAsia="Microsoft YaHei" w:hAnsi="Arial" w:cs="Arial"/>
          <w:i/>
        </w:rPr>
        <w:t>Patent Law</w:t>
      </w:r>
      <w:r w:rsidRPr="002A43FE">
        <w:rPr>
          <w:rFonts w:ascii="Arial" w:eastAsia="Microsoft YaHei" w:hAnsi="Arial" w:cs="Arial"/>
        </w:rPr>
        <w:t xml:space="preserve">, it shall comply with the provisions of the </w:t>
      </w:r>
      <w:r w:rsidRPr="002A43FE">
        <w:rPr>
          <w:rFonts w:ascii="Arial" w:eastAsia="Microsoft YaHei" w:hAnsi="Arial" w:cs="Arial"/>
          <w:i/>
        </w:rPr>
        <w:t>Civil Procedure Law</w:t>
      </w:r>
      <w:r w:rsidRPr="002A43FE">
        <w:rPr>
          <w:rFonts w:ascii="Arial" w:eastAsia="Microsoft YaHei" w:hAnsi="Arial" w:cs="Arial"/>
        </w:rPr>
        <w:t xml:space="preserve"> on the conditions for bringing an action, and submit the following evidence materials when bringing an action:</w:t>
      </w:r>
    </w:p>
    <w:p w:rsidR="00676114" w:rsidRPr="002A43FE" w:rsidRDefault="00676114" w:rsidP="00676114">
      <w:pPr>
        <w:pStyle w:val="NormalWeb"/>
        <w:shd w:val="clear" w:color="auto" w:fill="FFFFFF"/>
        <w:spacing w:before="0" w:beforeAutospacing="0" w:after="0" w:afterAutospacing="0" w:line="400" w:lineRule="exact"/>
        <w:ind w:firstLineChars="295" w:firstLine="708"/>
        <w:jc w:val="both"/>
        <w:rPr>
          <w:rFonts w:ascii="Arial" w:eastAsia="Microsoft YaHei" w:hAnsi="Arial" w:cs="Arial"/>
        </w:rPr>
      </w:pPr>
      <w:r w:rsidRPr="002A43FE">
        <w:rPr>
          <w:rFonts w:ascii="Arial" w:eastAsia="Microsoft YaHei" w:hAnsi="Arial" w:cs="Arial"/>
        </w:rPr>
        <w:t>(1) Information on the related patent registered on the China Patent Information Registration Platform for Listed Drugs;</w:t>
      </w:r>
    </w:p>
    <w:p w:rsidR="00676114" w:rsidRPr="002A43FE" w:rsidRDefault="00676114" w:rsidP="00676114">
      <w:pPr>
        <w:pStyle w:val="NormalWeb"/>
        <w:shd w:val="clear" w:color="auto" w:fill="FFFFFF"/>
        <w:spacing w:before="0" w:beforeAutospacing="0" w:after="0" w:afterAutospacing="0" w:line="400" w:lineRule="exact"/>
        <w:ind w:firstLineChars="300" w:firstLine="720"/>
        <w:jc w:val="both"/>
        <w:rPr>
          <w:rFonts w:ascii="Arial" w:eastAsia="Microsoft YaHei" w:hAnsi="Arial" w:cs="Arial"/>
        </w:rPr>
      </w:pPr>
      <w:r w:rsidRPr="002A43FE">
        <w:rPr>
          <w:rFonts w:ascii="Arial" w:eastAsia="Microsoft YaHei" w:hAnsi="Arial" w:cs="Arial"/>
        </w:rPr>
        <w:t>(2) Related information on a drug under application for registration and a statement on not falling within the scope of protection of the related patent right that are publicized on the information platform of the national drug evaluation agency;</w:t>
      </w:r>
    </w:p>
    <w:p w:rsidR="00676114" w:rsidRPr="002A43FE" w:rsidRDefault="00676114" w:rsidP="00676114">
      <w:pPr>
        <w:pStyle w:val="NormalWeb"/>
        <w:shd w:val="clear" w:color="auto" w:fill="FFFFFF"/>
        <w:spacing w:before="0" w:beforeAutospacing="0" w:after="0" w:afterAutospacing="0" w:line="400" w:lineRule="exact"/>
        <w:ind w:firstLine="709"/>
        <w:jc w:val="both"/>
        <w:rPr>
          <w:rFonts w:ascii="Arial" w:eastAsia="Microsoft YaHei" w:hAnsi="Arial" w:cs="Arial"/>
        </w:rPr>
      </w:pPr>
      <w:r w:rsidRPr="002A43FE">
        <w:rPr>
          <w:rFonts w:ascii="Arial" w:eastAsia="Microsoft YaHei" w:hAnsi="Arial" w:cs="Arial"/>
        </w:rPr>
        <w:t>(3) Preliminary evidence about whether the technical solution of the drug under application for registration falls within the scope of protection of the related patent right.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rPr>
        <w:t>The marketing approval applicant shall, within the time limit for defense in the first instance, submit to the people’s court copies of the technical materials declared to the national drug evaluation agency and corresponding to the determination of whether the drug falls within the scope of protection of the related patent right.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4</w:t>
      </w:r>
      <w:r w:rsidRPr="002A43FE">
        <w:rPr>
          <w:rFonts w:ascii="Arial" w:eastAsia="Microsoft YaHei" w:hAnsi="Arial" w:cs="Arial"/>
        </w:rPr>
        <w:t xml:space="preserve"> Where the claims as the basis of an action mentioned in Article 76 of the </w:t>
      </w:r>
      <w:r w:rsidRPr="002A43FE">
        <w:rPr>
          <w:rFonts w:ascii="Arial" w:eastAsia="Microsoft YaHei" w:hAnsi="Arial" w:cs="Arial"/>
          <w:i/>
        </w:rPr>
        <w:t xml:space="preserve">Patent Law </w:t>
      </w:r>
      <w:r w:rsidRPr="002A43FE">
        <w:rPr>
          <w:rFonts w:ascii="Arial" w:eastAsia="Microsoft YaHei" w:hAnsi="Arial" w:cs="Arial"/>
        </w:rPr>
        <w:t>filed</w:t>
      </w:r>
      <w:r w:rsidRPr="002A43FE">
        <w:rPr>
          <w:rFonts w:ascii="Arial" w:eastAsia="Microsoft YaHei" w:hAnsi="Arial" w:cs="Arial"/>
          <w:i/>
        </w:rPr>
        <w:t xml:space="preserve"> </w:t>
      </w:r>
      <w:r w:rsidRPr="002A43FE">
        <w:rPr>
          <w:rFonts w:ascii="Arial" w:eastAsia="Microsoft YaHei" w:hAnsi="Arial" w:cs="Arial"/>
        </w:rPr>
        <w:t xml:space="preserve">by a patent holder or an interested party is beyond the patent types that can be registered for the declared drug on the China Patent Information Registration Platform for Listed Drugs, the people’s court shall not accept the action; and where the action has been accepted, the people’s court shall </w:t>
      </w:r>
      <w:r>
        <w:rPr>
          <w:rFonts w:ascii="Arial" w:eastAsia="Microsoft YaHei" w:hAnsi="Arial" w:cs="Arial"/>
        </w:rPr>
        <w:t>rule</w:t>
      </w:r>
      <w:r w:rsidRPr="002A43FE">
        <w:rPr>
          <w:rFonts w:ascii="Arial" w:eastAsia="Microsoft YaHei" w:hAnsi="Arial" w:cs="Arial"/>
        </w:rPr>
        <w:t xml:space="preserve"> to dismiss the action.</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rPr>
        <w:t xml:space="preserve">Where part of the claims as the basis of the action mentioned in Article 76 of the </w:t>
      </w:r>
      <w:r w:rsidRPr="002A43FE">
        <w:rPr>
          <w:rFonts w:ascii="Arial" w:eastAsia="Microsoft YaHei" w:hAnsi="Arial" w:cs="Arial"/>
          <w:i/>
        </w:rPr>
        <w:t xml:space="preserve">Patent Law </w:t>
      </w:r>
      <w:r w:rsidRPr="002A43FE">
        <w:rPr>
          <w:rFonts w:ascii="Arial" w:eastAsia="Microsoft YaHei" w:hAnsi="Arial" w:cs="Arial"/>
        </w:rPr>
        <w:t>brought</w:t>
      </w:r>
      <w:r w:rsidRPr="002A43FE">
        <w:rPr>
          <w:rFonts w:ascii="Arial" w:eastAsia="Microsoft YaHei" w:hAnsi="Arial" w:cs="Arial"/>
          <w:i/>
        </w:rPr>
        <w:t xml:space="preserve"> </w:t>
      </w:r>
      <w:r w:rsidRPr="002A43FE">
        <w:rPr>
          <w:rFonts w:ascii="Arial" w:eastAsia="Microsoft YaHei" w:hAnsi="Arial" w:cs="Arial"/>
        </w:rPr>
        <w:t>by a patent holder or an interested party falls under the circumstance as prescribed in the preceding paragraph, the people’s court may decide not to accept the action against that part, and where the action has been accepted, the people’s court shall not include it in the scope of the trial.</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5</w:t>
      </w:r>
      <w:r w:rsidRPr="002A43FE">
        <w:rPr>
          <w:rFonts w:ascii="Arial" w:eastAsia="Microsoft YaHei" w:hAnsi="Arial" w:cs="Arial"/>
        </w:rPr>
        <w:t xml:space="preserve"> Where, after an action mentioned in Article 76 of the</w:t>
      </w:r>
      <w:r w:rsidRPr="002A43FE">
        <w:rPr>
          <w:rFonts w:ascii="Arial" w:eastAsia="Microsoft YaHei" w:hAnsi="Arial" w:cs="Arial"/>
          <w:i/>
        </w:rPr>
        <w:t xml:space="preserve"> Patent Law </w:t>
      </w:r>
      <w:r w:rsidRPr="002A43FE">
        <w:rPr>
          <w:rFonts w:ascii="Arial" w:eastAsia="Microsoft YaHei" w:hAnsi="Arial" w:cs="Arial"/>
        </w:rPr>
        <w:t xml:space="preserve">has been brought </w:t>
      </w:r>
      <w:r>
        <w:rPr>
          <w:rFonts w:ascii="Arial" w:eastAsia="Microsoft YaHei" w:hAnsi="Arial" w:cs="Arial"/>
        </w:rPr>
        <w:t>by a party</w:t>
      </w:r>
      <w:r w:rsidRPr="002A43FE">
        <w:rPr>
          <w:rFonts w:ascii="Arial" w:eastAsia="Microsoft YaHei" w:hAnsi="Arial" w:cs="Arial"/>
        </w:rPr>
        <w:t xml:space="preserve">, another action mentioned in Article 76 of the </w:t>
      </w:r>
      <w:r w:rsidRPr="002A43FE">
        <w:rPr>
          <w:rFonts w:ascii="Arial" w:eastAsia="Microsoft YaHei" w:hAnsi="Arial" w:cs="Arial"/>
          <w:i/>
        </w:rPr>
        <w:t>Patent Law</w:t>
      </w:r>
      <w:r w:rsidRPr="002A43FE">
        <w:rPr>
          <w:rFonts w:ascii="Arial" w:eastAsia="Microsoft YaHei" w:hAnsi="Arial" w:cs="Arial"/>
        </w:rPr>
        <w:t xml:space="preserve"> is brought </w:t>
      </w:r>
      <w:r>
        <w:rPr>
          <w:rFonts w:ascii="Arial" w:eastAsia="Microsoft YaHei" w:hAnsi="Arial" w:cs="Arial"/>
        </w:rPr>
        <w:t>by other parties</w:t>
      </w:r>
      <w:r w:rsidRPr="002A43FE">
        <w:rPr>
          <w:rFonts w:ascii="Arial" w:eastAsia="Microsoft YaHei" w:hAnsi="Arial" w:cs="Arial"/>
        </w:rPr>
        <w:t xml:space="preserve"> for the same patent right and drug under application for registration, the people’s court may </w:t>
      </w:r>
      <w:r>
        <w:rPr>
          <w:rFonts w:ascii="Arial" w:eastAsia="Microsoft YaHei" w:hAnsi="Arial" w:cs="Arial"/>
        </w:rPr>
        <w:t>combine the trial of</w:t>
      </w:r>
      <w:r w:rsidRPr="002A43FE">
        <w:rPr>
          <w:rFonts w:ascii="Arial" w:eastAsia="Microsoft YaHei" w:hAnsi="Arial" w:cs="Arial"/>
        </w:rPr>
        <w:t xml:space="preserve"> the actions according to law. Where an application by a patent holder or an interested party to participate in the action as a third party </w:t>
      </w:r>
      <w:r w:rsidRPr="002A43FE">
        <w:rPr>
          <w:rFonts w:ascii="Arial" w:eastAsia="Microsoft YaHei" w:hAnsi="Arial" w:cs="Arial"/>
        </w:rPr>
        <w:lastRenderedPageBreak/>
        <w:t>conforms to the relevant provisions of the</w:t>
      </w:r>
      <w:r w:rsidRPr="002A43FE">
        <w:rPr>
          <w:rFonts w:ascii="Arial" w:eastAsia="Microsoft YaHei" w:hAnsi="Arial" w:cs="Arial"/>
          <w:i/>
        </w:rPr>
        <w:t xml:space="preserve"> Civil Procedure Law</w:t>
      </w:r>
      <w:r w:rsidRPr="002A43FE">
        <w:rPr>
          <w:rFonts w:ascii="Arial" w:eastAsia="Microsoft YaHei" w:hAnsi="Arial" w:cs="Arial"/>
        </w:rPr>
        <w:t>, the people’s court shall give its permission.</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6</w:t>
      </w:r>
      <w:r w:rsidRPr="002A43FE">
        <w:rPr>
          <w:rFonts w:ascii="Arial" w:eastAsia="Microsoft YaHei" w:hAnsi="Arial" w:cs="Arial"/>
        </w:rPr>
        <w:t xml:space="preserve"> Where a party, on the ground that the</w:t>
      </w:r>
      <w:r w:rsidRPr="002A43FE">
        <w:rPr>
          <w:rFonts w:ascii="Arial" w:hAnsi="Arial" w:cs="Arial"/>
        </w:rPr>
        <w:t xml:space="preserve"> </w:t>
      </w:r>
      <w:r w:rsidRPr="002A43FE">
        <w:rPr>
          <w:rFonts w:ascii="Arial" w:eastAsia="Microsoft YaHei" w:hAnsi="Arial" w:cs="Arial"/>
        </w:rPr>
        <w:t xml:space="preserve">patent administration department of the State Council has accepted the application for administrative ruling mentioned in Article 76 of the </w:t>
      </w:r>
      <w:r w:rsidRPr="002A43FE">
        <w:rPr>
          <w:rFonts w:ascii="Arial" w:eastAsia="Microsoft YaHei" w:hAnsi="Arial" w:cs="Arial"/>
          <w:i/>
        </w:rPr>
        <w:t>Patent Law</w:t>
      </w:r>
      <w:r w:rsidRPr="002A43FE">
        <w:rPr>
          <w:rFonts w:ascii="Arial" w:eastAsia="Microsoft YaHei" w:hAnsi="Arial" w:cs="Arial"/>
        </w:rPr>
        <w:t xml:space="preserve">, claims that the action mentioned in Article 76 of the </w:t>
      </w:r>
      <w:r w:rsidRPr="002A43FE">
        <w:rPr>
          <w:rFonts w:ascii="Arial" w:eastAsia="Microsoft YaHei" w:hAnsi="Arial" w:cs="Arial"/>
          <w:i/>
        </w:rPr>
        <w:t>Patent Law</w:t>
      </w:r>
      <w:r w:rsidRPr="002A43FE">
        <w:rPr>
          <w:rFonts w:ascii="Arial" w:eastAsia="Microsoft YaHei" w:hAnsi="Arial" w:cs="Arial"/>
        </w:rPr>
        <w:t xml:space="preserve"> shall not be accepted or applies </w:t>
      </w:r>
      <w:r>
        <w:rPr>
          <w:rFonts w:ascii="Arial" w:eastAsia="Microsoft YaHei" w:hAnsi="Arial" w:cs="Arial"/>
        </w:rPr>
        <w:t xml:space="preserve"> to suspend</w:t>
      </w:r>
      <w:r w:rsidRPr="002A43FE">
        <w:rPr>
          <w:rFonts w:ascii="Arial" w:eastAsia="Microsoft YaHei" w:hAnsi="Arial" w:cs="Arial"/>
        </w:rPr>
        <w:t xml:space="preserve"> the action, the people’s court</w:t>
      </w:r>
      <w:bookmarkStart w:id="1" w:name="OLE_LINK1"/>
      <w:r w:rsidRPr="002A43FE">
        <w:rPr>
          <w:rFonts w:ascii="Arial" w:eastAsia="Microsoft YaHei" w:hAnsi="Arial" w:cs="Arial"/>
        </w:rPr>
        <w:t xml:space="preserve"> shall not suppor</w:t>
      </w:r>
      <w:bookmarkEnd w:id="1"/>
      <w:r w:rsidRPr="002A43FE">
        <w:rPr>
          <w:rFonts w:ascii="Arial" w:eastAsia="Microsoft YaHei" w:hAnsi="Arial" w:cs="Arial"/>
        </w:rPr>
        <w:t>t the party.</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7</w:t>
      </w:r>
      <w:r w:rsidRPr="002A43FE">
        <w:rPr>
          <w:rFonts w:ascii="Arial" w:eastAsia="Microsoft YaHei" w:hAnsi="Arial" w:cs="Arial"/>
        </w:rPr>
        <w:t xml:space="preserve"> Where a party, on the ground that the patent administration department of the State Council has accepted the request for the related patent invalid</w:t>
      </w:r>
      <w:r>
        <w:rPr>
          <w:rFonts w:ascii="Arial" w:eastAsia="Microsoft YaHei" w:hAnsi="Arial" w:cs="Arial"/>
        </w:rPr>
        <w:t>ation</w:t>
      </w:r>
      <w:r w:rsidRPr="002A43FE">
        <w:rPr>
          <w:rFonts w:ascii="Arial" w:eastAsia="Microsoft YaHei" w:hAnsi="Arial" w:cs="Arial"/>
        </w:rPr>
        <w:t xml:space="preserve">, applies </w:t>
      </w:r>
      <w:r>
        <w:rPr>
          <w:rFonts w:ascii="Arial" w:eastAsia="Microsoft YaHei" w:hAnsi="Arial" w:cs="Arial"/>
        </w:rPr>
        <w:t>to suspend</w:t>
      </w:r>
      <w:r w:rsidRPr="002A43FE">
        <w:rPr>
          <w:rFonts w:ascii="Arial" w:eastAsia="Microsoft YaHei" w:hAnsi="Arial" w:cs="Arial"/>
        </w:rPr>
        <w:t xml:space="preserve"> the action mentioned in Article 76 of the</w:t>
      </w:r>
      <w:r w:rsidRPr="002A43FE">
        <w:rPr>
          <w:rFonts w:ascii="Arial" w:eastAsia="Microsoft YaHei" w:hAnsi="Arial" w:cs="Arial"/>
          <w:i/>
        </w:rPr>
        <w:t xml:space="preserve"> Patent Law</w:t>
      </w:r>
      <w:r w:rsidRPr="002A43FE">
        <w:rPr>
          <w:rFonts w:ascii="Arial" w:eastAsia="Microsoft YaHei" w:hAnsi="Arial" w:cs="Arial"/>
        </w:rPr>
        <w:t>, the people’s court generally will not support the party.</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8</w:t>
      </w:r>
      <w:r w:rsidRPr="002A43FE">
        <w:rPr>
          <w:rFonts w:ascii="Arial" w:eastAsia="Microsoft YaHei" w:hAnsi="Arial" w:cs="Arial"/>
        </w:rPr>
        <w:t xml:space="preserve"> Where the claim as the basis of the action mentioned in Article 76 of the </w:t>
      </w:r>
      <w:r w:rsidRPr="002A43FE">
        <w:rPr>
          <w:rFonts w:ascii="Arial" w:eastAsia="Microsoft YaHei" w:hAnsi="Arial" w:cs="Arial"/>
          <w:i/>
        </w:rPr>
        <w:t xml:space="preserve">Patent Law </w:t>
      </w:r>
      <w:r w:rsidRPr="002A43FE">
        <w:rPr>
          <w:rFonts w:ascii="Arial" w:eastAsia="Microsoft YaHei" w:hAnsi="Arial" w:cs="Arial"/>
        </w:rPr>
        <w:t>filed</w:t>
      </w:r>
      <w:r w:rsidRPr="002A43FE">
        <w:rPr>
          <w:rFonts w:ascii="Arial" w:eastAsia="Microsoft YaHei" w:hAnsi="Arial" w:cs="Arial"/>
          <w:i/>
        </w:rPr>
        <w:t xml:space="preserve"> </w:t>
      </w:r>
      <w:r w:rsidRPr="002A43FE">
        <w:rPr>
          <w:rFonts w:ascii="Arial" w:eastAsia="Microsoft YaHei" w:hAnsi="Arial" w:cs="Arial"/>
        </w:rPr>
        <w:t>by a party is declared invalid by the patent administration department of the State Council, or the administrative judgment of first instance ascertains that the claim falls under the circumstances where the claim shall be declared invalid, the people’s court may dismiss the action brought by the patent holder or the interested party, or may adjudge that the technical solution of the drug under application for registration does not fall within the scope of protection of the related patent right upon the request of the marketing approval applicant.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9</w:t>
      </w:r>
      <w:r w:rsidRPr="002A43FE">
        <w:rPr>
          <w:rFonts w:ascii="Arial" w:eastAsia="Microsoft YaHei" w:hAnsi="Arial" w:cs="Arial"/>
        </w:rPr>
        <w:t xml:space="preserve"> Where the marketing approval applicant claims the prior art defense in the action mentioned in Article 76 of the </w:t>
      </w:r>
      <w:r w:rsidRPr="002A43FE">
        <w:rPr>
          <w:rFonts w:ascii="Arial" w:eastAsia="Microsoft YaHei" w:hAnsi="Arial" w:cs="Arial"/>
          <w:i/>
        </w:rPr>
        <w:t>Patent Law</w:t>
      </w:r>
      <w:r w:rsidRPr="002A43FE">
        <w:rPr>
          <w:rFonts w:ascii="Arial" w:eastAsia="Microsoft YaHei" w:hAnsi="Arial" w:cs="Arial"/>
        </w:rPr>
        <w:t xml:space="preserve"> or claims that there are statutory circumstances that shall not be deemed an infringement upon a patent right, the people’s court may dismiss the claims of the patent holder or the interested party upon examination and verification, or may adjudge that the technical solution of the drug under application for registration does not fall within the scope of protection of the related patent right upon the request of the market </w:t>
      </w:r>
      <w:r>
        <w:rPr>
          <w:rFonts w:ascii="Arial" w:eastAsia="Microsoft YaHei" w:hAnsi="Arial" w:cs="Arial"/>
        </w:rPr>
        <w:t>approval</w:t>
      </w:r>
      <w:r w:rsidRPr="002A43FE">
        <w:rPr>
          <w:rFonts w:ascii="Arial" w:eastAsia="Microsoft YaHei" w:hAnsi="Arial" w:cs="Arial"/>
        </w:rPr>
        <w:t xml:space="preserve"> applicant.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rPr>
        <w:t xml:space="preserve">Where the marketing approval applicant claims in defense that the related patent right obviously falls under the circumstances where the related patent right shall be declared invalid, the people’s court may dismiss the claims of the patent holder or the interested party upon examination and verification, or may adjudge that the technical solution of the drug under application for registration does not fall within the scope of protection of the related patent right upon the request of the market </w:t>
      </w:r>
      <w:r>
        <w:rPr>
          <w:rFonts w:ascii="Arial" w:eastAsia="Microsoft YaHei" w:hAnsi="Arial" w:cs="Arial"/>
        </w:rPr>
        <w:t>approval</w:t>
      </w:r>
      <w:r w:rsidRPr="002A43FE">
        <w:rPr>
          <w:rFonts w:ascii="Arial" w:eastAsia="Microsoft YaHei" w:hAnsi="Arial" w:cs="Arial"/>
        </w:rPr>
        <w:t xml:space="preserve"> applicant.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lastRenderedPageBreak/>
        <w:t>Article 10</w:t>
      </w:r>
      <w:r w:rsidRPr="002A43FE">
        <w:rPr>
          <w:rFonts w:ascii="Arial" w:eastAsia="Microsoft YaHei" w:hAnsi="Arial" w:cs="Arial"/>
        </w:rPr>
        <w:t xml:space="preserve"> Where a patent holder or an interested party applies, in the action mentioned in Article 76 of the </w:t>
      </w:r>
      <w:r w:rsidRPr="002A43FE">
        <w:rPr>
          <w:rFonts w:ascii="Arial" w:eastAsia="Microsoft YaHei" w:hAnsi="Arial" w:cs="Arial"/>
          <w:i/>
        </w:rPr>
        <w:t>Patent Law</w:t>
      </w:r>
      <w:r w:rsidRPr="002A43FE">
        <w:rPr>
          <w:rFonts w:ascii="Arial" w:eastAsia="Microsoft YaHei" w:hAnsi="Arial" w:cs="Arial"/>
        </w:rPr>
        <w:t>, for act preservation not allowing the marketing approval applicant   to carry out or be about to carry out the acts of manufacturing, using, offering for sale, sale or import for the purposes of production and business within the term of the related patent right, a guarantee shall be provided; and where it fails to provide the guarantee, the application shall be rejected.</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rPr>
        <w:t xml:space="preserve">Where a patent holder or an interested party applies, in the action mentioned in Article 76 of the </w:t>
      </w:r>
      <w:r w:rsidRPr="002A43FE">
        <w:rPr>
          <w:rFonts w:ascii="Arial" w:eastAsia="Microsoft YaHei" w:hAnsi="Arial" w:cs="Arial"/>
          <w:i/>
        </w:rPr>
        <w:t>Patent Law</w:t>
      </w:r>
      <w:r w:rsidRPr="002A43FE">
        <w:rPr>
          <w:rFonts w:ascii="Arial" w:eastAsia="Microsoft YaHei" w:hAnsi="Arial" w:cs="Arial"/>
        </w:rPr>
        <w:t>, for act preservation not allowing the acts of drug marketing application or review and approval, the people’s court shall not support the act preservation application.</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11</w:t>
      </w:r>
      <w:r w:rsidRPr="002A43FE">
        <w:rPr>
          <w:rFonts w:ascii="Arial" w:eastAsia="Microsoft YaHei" w:hAnsi="Arial" w:cs="Arial"/>
        </w:rPr>
        <w:t xml:space="preserve"> A party shall have the obligation to keep confidential any trade secrets obtained from other parties in the action, and shall bear civil liability according to law if it discloses such trade secrets without authorization, or uses or allows others to use such trade secrets for other purposes beyond the action without authorization. Where such act constitutes the circumstances prescribed in Article 111 of the </w:t>
      </w:r>
      <w:r w:rsidRPr="002A43FE">
        <w:rPr>
          <w:rFonts w:ascii="Arial" w:eastAsia="Microsoft YaHei" w:hAnsi="Arial" w:cs="Arial"/>
          <w:i/>
        </w:rPr>
        <w:t>Civil Procedure Law</w:t>
      </w:r>
      <w:r w:rsidRPr="002A43FE">
        <w:rPr>
          <w:rFonts w:ascii="Arial" w:eastAsia="Microsoft YaHei" w:hAnsi="Arial" w:cs="Arial"/>
        </w:rPr>
        <w:t>, the people’s court may take compulsory measures according to law. Where such act constitutes a crime, criminal liability shall be investigated according to law.</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12</w:t>
      </w:r>
      <w:r w:rsidRPr="002A43FE">
        <w:rPr>
          <w:rFonts w:ascii="Arial" w:eastAsia="Microsoft YaHei" w:hAnsi="Arial" w:cs="Arial"/>
        </w:rPr>
        <w:t xml:space="preserve"> Where some part of the technical solution of a drug under application for registration falls within the scope of protection of the related patent right while other parts not, the people’s court shall make the determination respectively in the judgment text.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13</w:t>
      </w:r>
      <w:r w:rsidRPr="002A43FE">
        <w:rPr>
          <w:rFonts w:ascii="Arial" w:eastAsia="Microsoft YaHei" w:hAnsi="Arial" w:cs="Arial"/>
        </w:rPr>
        <w:t xml:space="preserve"> Where an obvious discrepancy between the technical solution of a drug under application for registration that is submitted to the people’s court by the marketing approval applicant and the technical materials submitted to the national drug evaluation agency is significant enough to affect the normal trial of the case, the people’s court may, in accordance with Article 111 of the </w:t>
      </w:r>
      <w:r w:rsidRPr="002A43FE">
        <w:rPr>
          <w:rFonts w:ascii="Arial" w:eastAsia="Microsoft YaHei" w:hAnsi="Arial" w:cs="Arial"/>
          <w:i/>
        </w:rPr>
        <w:t>Civil Procedure Law</w:t>
      </w:r>
      <w:r w:rsidRPr="002A43FE">
        <w:rPr>
          <w:rFonts w:ascii="Arial" w:eastAsia="Microsoft YaHei" w:hAnsi="Arial" w:cs="Arial"/>
        </w:rPr>
        <w:t>, deal with it on the basis of the circumstances.</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14</w:t>
      </w:r>
      <w:r w:rsidRPr="002A43FE">
        <w:rPr>
          <w:rFonts w:ascii="Arial" w:eastAsia="Microsoft YaHei" w:hAnsi="Arial" w:cs="Arial"/>
        </w:rPr>
        <w:t xml:space="preserve"> Prior to the marketing approval of a drug related to a patent right, where with respect to the same patent right and drug under application for registration, an action brought by a party for patent infringement or confirmation of non-infringement is filed after the action mentioned in Article 76 of the </w:t>
      </w:r>
      <w:r w:rsidRPr="002A43FE">
        <w:rPr>
          <w:rFonts w:ascii="Arial" w:eastAsia="Microsoft YaHei" w:hAnsi="Arial" w:cs="Arial"/>
          <w:i/>
        </w:rPr>
        <w:t>Patent Law</w:t>
      </w:r>
      <w:r w:rsidRPr="002A43FE">
        <w:rPr>
          <w:rFonts w:ascii="Arial" w:eastAsia="Microsoft YaHei" w:hAnsi="Arial" w:cs="Arial"/>
        </w:rPr>
        <w:t>, the case shall be transferred to the Beijing Intellectual Property Court, and otherwise the case shall not be transferred.</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rPr>
        <w:lastRenderedPageBreak/>
        <w:t>Where a party, after a drug under application for registration has been approved according to law by the drug administration department under the State Council, brings an action for patent infringement or confirmation of non-infringement, the case shall not be transferred.</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15</w:t>
      </w:r>
      <w:r w:rsidRPr="002A43FE">
        <w:rPr>
          <w:rFonts w:ascii="Arial" w:eastAsia="Microsoft YaHei" w:hAnsi="Arial" w:cs="Arial"/>
        </w:rPr>
        <w:t xml:space="preserve"> Where after a drug under application for registration is approved for marketing according to law, the people’s court hearing the action mentioned in Article 76 of the </w:t>
      </w:r>
      <w:r w:rsidRPr="002A43FE">
        <w:rPr>
          <w:rFonts w:ascii="Arial" w:eastAsia="Microsoft YaHei" w:hAnsi="Arial" w:cs="Arial"/>
          <w:i/>
        </w:rPr>
        <w:t>Patent Law</w:t>
      </w:r>
      <w:r w:rsidRPr="002A43FE">
        <w:rPr>
          <w:rFonts w:ascii="Arial" w:eastAsia="Microsoft YaHei" w:hAnsi="Arial" w:cs="Arial"/>
        </w:rPr>
        <w:t xml:space="preserve"> makes an effective judgement determining that the technical solution of the drug under application for registration falls within the scope of protection of the related patent right, and the patent holder or the interested party may separately file a lawsuit for the infringement </w:t>
      </w:r>
      <w:r>
        <w:rPr>
          <w:rFonts w:ascii="Arial" w:eastAsia="Microsoft YaHei" w:hAnsi="Arial" w:cs="Arial"/>
        </w:rPr>
        <w:t xml:space="preserve">by the party </w:t>
      </w:r>
      <w:r w:rsidRPr="002A43FE">
        <w:rPr>
          <w:rFonts w:ascii="Arial" w:eastAsia="Microsoft YaHei" w:hAnsi="Arial" w:cs="Arial"/>
        </w:rPr>
        <w:t>upon the related patent right.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16</w:t>
      </w:r>
      <w:r w:rsidRPr="002A43FE">
        <w:rPr>
          <w:rFonts w:ascii="Arial" w:eastAsia="Microsoft YaHei" w:hAnsi="Arial" w:cs="Arial"/>
        </w:rPr>
        <w:t xml:space="preserve"> Where a party, in an action for infringement upon </w:t>
      </w:r>
      <w:r>
        <w:rPr>
          <w:rFonts w:ascii="Arial" w:eastAsia="Microsoft YaHei" w:hAnsi="Arial" w:cs="Arial"/>
        </w:rPr>
        <w:t>the sme</w:t>
      </w:r>
      <w:r w:rsidRPr="002A43FE">
        <w:rPr>
          <w:rFonts w:ascii="Arial" w:eastAsia="Microsoft YaHei" w:hAnsi="Arial" w:cs="Arial"/>
        </w:rPr>
        <w:t xml:space="preserve"> patent right or confirmation of non-infringement </w:t>
      </w:r>
      <w:r>
        <w:rPr>
          <w:rFonts w:ascii="Arial" w:eastAsia="Microsoft YaHei" w:hAnsi="Arial" w:cs="Arial"/>
        </w:rPr>
        <w:t>for</w:t>
      </w:r>
      <w:r w:rsidRPr="002A43FE">
        <w:rPr>
          <w:rFonts w:ascii="Arial" w:eastAsia="Microsoft YaHei" w:hAnsi="Arial" w:cs="Arial"/>
        </w:rPr>
        <w:t xml:space="preserve"> </w:t>
      </w:r>
      <w:r>
        <w:rPr>
          <w:rFonts w:ascii="Arial" w:eastAsia="Microsoft YaHei" w:hAnsi="Arial" w:cs="Arial"/>
        </w:rPr>
        <w:t>the same</w:t>
      </w:r>
      <w:r w:rsidRPr="002A43FE">
        <w:rPr>
          <w:rFonts w:ascii="Arial" w:eastAsia="Microsoft YaHei" w:hAnsi="Arial" w:cs="Arial"/>
        </w:rPr>
        <w:t xml:space="preserve"> drug under application for registration, claims that whether the technical solution of the drug </w:t>
      </w:r>
      <w:r w:rsidRPr="002A43FE">
        <w:rPr>
          <w:rFonts w:ascii="Arial" w:hAnsi="Arial" w:cs="Arial"/>
          <w:spacing w:val="-2"/>
        </w:rPr>
        <w:t>a</w:t>
      </w:r>
      <w:r w:rsidRPr="002A43FE">
        <w:rPr>
          <w:rFonts w:ascii="Arial" w:hAnsi="Arial" w:cs="Arial"/>
          <w:spacing w:val="3"/>
        </w:rPr>
        <w:t>l</w:t>
      </w:r>
      <w:r w:rsidRPr="002A43FE">
        <w:rPr>
          <w:rFonts w:ascii="Arial" w:hAnsi="Arial" w:cs="Arial"/>
          <w:spacing w:val="-2"/>
        </w:rPr>
        <w:t>le</w:t>
      </w:r>
      <w:r w:rsidRPr="002A43FE">
        <w:rPr>
          <w:rFonts w:ascii="Arial" w:hAnsi="Arial" w:cs="Arial"/>
        </w:rPr>
        <w:t>g</w:t>
      </w:r>
      <w:r w:rsidRPr="002A43FE">
        <w:rPr>
          <w:rFonts w:ascii="Arial" w:hAnsi="Arial" w:cs="Arial"/>
          <w:spacing w:val="-2"/>
        </w:rPr>
        <w:t>e</w:t>
      </w:r>
      <w:r w:rsidRPr="002A43FE">
        <w:rPr>
          <w:rFonts w:ascii="Arial" w:hAnsi="Arial" w:cs="Arial"/>
          <w:spacing w:val="5"/>
        </w:rPr>
        <w:t>d</w:t>
      </w:r>
      <w:r w:rsidRPr="002A43FE">
        <w:rPr>
          <w:rFonts w:ascii="Arial" w:hAnsi="Arial" w:cs="Arial"/>
          <w:spacing w:val="-2"/>
        </w:rPr>
        <w:t>l</w:t>
      </w:r>
      <w:r w:rsidRPr="002A43FE">
        <w:rPr>
          <w:rFonts w:ascii="Arial" w:hAnsi="Arial" w:cs="Arial"/>
        </w:rPr>
        <w:t xml:space="preserve">y </w:t>
      </w:r>
      <w:r w:rsidRPr="002A43FE">
        <w:rPr>
          <w:rFonts w:ascii="Arial" w:hAnsi="Arial" w:cs="Arial"/>
          <w:spacing w:val="-2"/>
        </w:rPr>
        <w:t>i</w:t>
      </w:r>
      <w:r w:rsidRPr="002A43FE">
        <w:rPr>
          <w:rFonts w:ascii="Arial" w:hAnsi="Arial" w:cs="Arial"/>
        </w:rPr>
        <w:t>nfr</w:t>
      </w:r>
      <w:r w:rsidRPr="002A43FE">
        <w:rPr>
          <w:rFonts w:ascii="Arial" w:hAnsi="Arial" w:cs="Arial"/>
          <w:spacing w:val="-1"/>
        </w:rPr>
        <w:t>i</w:t>
      </w:r>
      <w:r w:rsidRPr="002A43FE">
        <w:rPr>
          <w:rFonts w:ascii="Arial" w:hAnsi="Arial" w:cs="Arial"/>
        </w:rPr>
        <w:t>n</w:t>
      </w:r>
      <w:r w:rsidRPr="002A43FE">
        <w:rPr>
          <w:rFonts w:ascii="Arial" w:hAnsi="Arial" w:cs="Arial"/>
          <w:spacing w:val="5"/>
        </w:rPr>
        <w:t>g</w:t>
      </w:r>
      <w:r w:rsidRPr="002A43FE">
        <w:rPr>
          <w:rFonts w:ascii="Arial" w:hAnsi="Arial" w:cs="Arial"/>
          <w:spacing w:val="-2"/>
        </w:rPr>
        <w:t>i</w:t>
      </w:r>
      <w:r w:rsidRPr="002A43FE">
        <w:rPr>
          <w:rFonts w:ascii="Arial" w:hAnsi="Arial" w:cs="Arial"/>
        </w:rPr>
        <w:t>ng</w:t>
      </w:r>
      <w:r w:rsidRPr="002A43FE">
        <w:rPr>
          <w:rFonts w:ascii="Arial" w:eastAsia="Microsoft YaHei" w:hAnsi="Arial" w:cs="Arial"/>
        </w:rPr>
        <w:t xml:space="preserve"> the patent right falls within the scope of protection of the patent right shall be determined based on an effective judgement o</w:t>
      </w:r>
      <w:r>
        <w:rPr>
          <w:rFonts w:ascii="Arial" w:eastAsia="Microsoft YaHei" w:hAnsi="Arial" w:cs="Arial"/>
        </w:rPr>
        <w:t>f</w:t>
      </w:r>
      <w:r w:rsidRPr="002A43FE">
        <w:rPr>
          <w:rFonts w:ascii="Arial" w:eastAsia="Microsoft YaHei" w:hAnsi="Arial" w:cs="Arial"/>
        </w:rPr>
        <w:t xml:space="preserve"> the action mentioned in Article 76 of the </w:t>
      </w:r>
      <w:r w:rsidRPr="002A43FE">
        <w:rPr>
          <w:rFonts w:ascii="Arial" w:eastAsia="Microsoft YaHei" w:hAnsi="Arial" w:cs="Arial"/>
          <w:i/>
        </w:rPr>
        <w:t>Patent Law</w:t>
      </w:r>
      <w:r w:rsidRPr="002A43FE">
        <w:rPr>
          <w:rFonts w:ascii="Arial" w:eastAsia="Microsoft YaHei" w:hAnsi="Arial" w:cs="Arial"/>
        </w:rPr>
        <w:t>, the people’s court will generally support the party, except that there is evidence that the technical solution of the allegedly infringing drug is inconsistent with that of the drug under application for registration, or a cause for a new claim is established.</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17</w:t>
      </w:r>
      <w:r w:rsidRPr="002A43FE">
        <w:rPr>
          <w:rFonts w:ascii="Arial" w:eastAsia="Microsoft YaHei" w:hAnsi="Arial" w:cs="Arial"/>
        </w:rPr>
        <w:t xml:space="preserve"> Where the marketing approval applicant sues for compensation for the loss caused by the suspension of the drug marketing approval and for reasonable expenses incurred in the action when a patent holder or an interested party abuses its right to bring an action mentioned in Article 76 of the</w:t>
      </w:r>
      <w:r w:rsidRPr="002A43FE">
        <w:rPr>
          <w:rFonts w:ascii="Arial" w:eastAsia="Microsoft YaHei" w:hAnsi="Arial" w:cs="Arial"/>
          <w:i/>
        </w:rPr>
        <w:t xml:space="preserve"> Patent Law</w:t>
      </w:r>
      <w:r w:rsidRPr="002A43FE">
        <w:rPr>
          <w:rFonts w:ascii="Arial" w:eastAsia="Microsoft YaHei" w:hAnsi="Arial" w:cs="Arial"/>
        </w:rPr>
        <w:t xml:space="preserve"> and withdraw such an action without justification, or fails to gain support for all the claims, the people’s court may accept the case according to law. The above case of first instance shall be under the jurisdiction of the Beijing Intellectual Property Court.</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t>Article 18</w:t>
      </w:r>
      <w:r w:rsidRPr="002A43FE">
        <w:rPr>
          <w:rFonts w:ascii="Arial" w:eastAsia="Microsoft YaHei" w:hAnsi="Arial" w:cs="Arial"/>
        </w:rPr>
        <w:t xml:space="preserve"> The service made by the people’s court to the contact person, mailing address or E-mail published on the China Patent Information Registration Platform for Listed Drugs or the information platform of the national drug evaluation agency shall be deemed as effective service.</w:t>
      </w:r>
      <w:r w:rsidRPr="002A43FE">
        <w:rPr>
          <w:rFonts w:ascii="Arial" w:hAnsi="Arial" w:cs="Arial"/>
        </w:rPr>
        <w:t xml:space="preserve"> </w:t>
      </w:r>
      <w:r w:rsidRPr="002A43FE">
        <w:rPr>
          <w:rFonts w:ascii="Arial" w:eastAsia="Microsoft YaHei" w:hAnsi="Arial" w:cs="Arial"/>
        </w:rPr>
        <w:t>After a party submits to the people’s court a confirmation of the address for service, the people’s court shall serve any document at the address specified in the confirmation.</w:t>
      </w:r>
    </w:p>
    <w:p w:rsidR="00676114" w:rsidRPr="002A43FE" w:rsidRDefault="00676114" w:rsidP="00676114">
      <w:pPr>
        <w:pStyle w:val="NormalWeb"/>
        <w:shd w:val="clear" w:color="auto" w:fill="FFFFFF"/>
        <w:spacing w:before="0" w:beforeAutospacing="0" w:after="0" w:afterAutospacing="0" w:line="400" w:lineRule="exact"/>
        <w:ind w:firstLine="480"/>
        <w:jc w:val="both"/>
        <w:rPr>
          <w:rFonts w:ascii="Arial" w:eastAsia="Microsoft YaHei" w:hAnsi="Arial" w:cs="Arial"/>
        </w:rPr>
      </w:pPr>
      <w:r w:rsidRPr="002A43FE">
        <w:rPr>
          <w:rFonts w:ascii="Arial" w:eastAsia="Microsoft YaHei" w:hAnsi="Arial" w:cs="Arial"/>
          <w:b/>
        </w:rPr>
        <w:lastRenderedPageBreak/>
        <w:t>Article 19</w:t>
      </w:r>
      <w:r w:rsidRPr="002A43FE">
        <w:rPr>
          <w:rFonts w:ascii="Arial" w:eastAsia="Microsoft YaHei" w:hAnsi="Arial" w:cs="Arial"/>
        </w:rPr>
        <w:t xml:space="preserve"> These Provisions shall enter into force as of June 1, 2021. In case of any inconsistency between the relevant judicial interpretations issued by this Court and these Provisions, these Provisions shall prevail.</w:t>
      </w:r>
    </w:p>
    <w:p w:rsidR="00D33AD8" w:rsidRPr="009B33C8" w:rsidRDefault="00D33AD8" w:rsidP="00676114">
      <w:pPr>
        <w:shd w:val="clear" w:color="auto" w:fill="FFFFFF"/>
        <w:spacing w:after="240" w:line="240" w:lineRule="auto"/>
        <w:ind w:firstLine="0"/>
        <w:jc w:val="both"/>
        <w:rPr>
          <w:rFonts w:asciiTheme="minorHAnsi" w:hAnsiTheme="minorHAnsi" w:cstheme="minorHAnsi"/>
          <w:b/>
          <w:bCs/>
          <w:szCs w:val="24"/>
        </w:rPr>
      </w:pPr>
    </w:p>
    <w:sectPr w:rsidR="00D33AD8" w:rsidRPr="009B33C8" w:rsidSect="001D11A0">
      <w:footerReference w:type="default" r:id="rId12"/>
      <w:headerReference w:type="first" r:id="rId13"/>
      <w:pgSz w:w="12240" w:h="15840"/>
      <w:pgMar w:top="1440" w:right="1440" w:bottom="1440" w:left="1440" w:header="720" w:footer="720" w:gutter="0"/>
      <w:pgNumType w:start="1"/>
      <w:cols w:space="720"/>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7D01" w:rsidRDefault="00F27D01" w:rsidP="001154ED">
      <w:r>
        <w:separator/>
      </w:r>
    </w:p>
  </w:endnote>
  <w:endnote w:type="continuationSeparator" w:id="0">
    <w:p w:rsidR="00F27D01" w:rsidRDefault="00F27D01" w:rsidP="00115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68B" w:rsidRPr="008470EE" w:rsidRDefault="00F27D01" w:rsidP="0093368B">
    <w:pPr>
      <w:pStyle w:val="Footer"/>
      <w:jc w:val="left"/>
    </w:pPr>
    <w:sdt>
      <w:sdtPr>
        <w:rPr>
          <w:rFonts w:eastAsia="Times New Roman"/>
          <w:bCs/>
        </w:rPr>
        <w:alias w:val="Title"/>
        <w:tag w:val=""/>
        <w:id w:val="1053432648"/>
        <w:placeholder>
          <w:docPart w:val="73627B87564341CB8E9EA6EBFA5662C5"/>
        </w:placeholder>
        <w:dataBinding w:prefixMappings="xmlns:ns0='http://purl.org/dc/elements/1.1/' xmlns:ns1='http://schemas.openxmlformats.org/package/2006/metadata/core-properties' " w:xpath="/ns1:coreProperties[1]/ns0:title[1]" w:storeItemID="{6C3C8BC8-F283-45AE-878A-BAB7291924A1}"/>
        <w:text/>
      </w:sdtPr>
      <w:sdtEndPr/>
      <w:sdtContent>
        <w:r w:rsidR="00822892">
          <w:rPr>
            <w:rFonts w:eastAsia="Times New Roman"/>
            <w:bCs/>
          </w:rPr>
          <w:t xml:space="preserve">English Translation of </w:t>
        </w:r>
        <w:r w:rsidR="006736BB">
          <w:rPr>
            <w:rFonts w:eastAsia="Times New Roman"/>
            <w:bCs/>
          </w:rPr>
          <w:t xml:space="preserve">Provisions </w:t>
        </w:r>
        <w:r w:rsidR="00822892">
          <w:rPr>
            <w:rFonts w:eastAsia="Times New Roman"/>
            <w:bCs/>
          </w:rPr>
          <w:t xml:space="preserve">of the Supreme People’s Court on Several Issues Concerning Application of Law </w:t>
        </w:r>
        <w:r w:rsidR="006736BB">
          <w:rPr>
            <w:rFonts w:eastAsia="Times New Roman"/>
            <w:bCs/>
          </w:rPr>
          <w:t>to</w:t>
        </w:r>
        <w:r w:rsidR="00822892">
          <w:rPr>
            <w:rFonts w:eastAsia="Times New Roman"/>
            <w:bCs/>
          </w:rPr>
          <w:t xml:space="preserve"> the Trial of</w:t>
        </w:r>
        <w:r w:rsidR="006736BB">
          <w:rPr>
            <w:rFonts w:eastAsia="Times New Roman"/>
            <w:bCs/>
          </w:rPr>
          <w:t xml:space="preserve"> Patent</w:t>
        </w:r>
        <w:r w:rsidR="00822892">
          <w:rPr>
            <w:rFonts w:eastAsia="Times New Roman"/>
            <w:bCs/>
          </w:rPr>
          <w:t xml:space="preserve"> Civil Cases </w:t>
        </w:r>
        <w:r w:rsidR="006736BB">
          <w:rPr>
            <w:rFonts w:eastAsia="Times New Roman"/>
            <w:bCs/>
          </w:rPr>
          <w:t>Involving the Review and Approval for Drug Marketing (Draft for Comment)</w:t>
        </w:r>
      </w:sdtContent>
    </w:sdt>
    <w:r w:rsidR="0093368B">
      <w:rPr>
        <w:rFonts w:eastAsia="Times New Roman"/>
        <w:bCs/>
      </w:rPr>
      <w:tab/>
    </w:r>
  </w:p>
  <w:p w:rsidR="00360D3C" w:rsidRPr="008470EE" w:rsidRDefault="0093368B" w:rsidP="0093368B">
    <w:pPr>
      <w:pStyle w:val="Footer"/>
    </w:pPr>
    <w:r w:rsidRPr="001D261B">
      <w:rPr>
        <w:rFonts w:eastAsia="Times New Roman"/>
        <w:bCs/>
      </w:rPr>
      <w:t>U</w:t>
    </w:r>
    <w:r>
      <w:rPr>
        <w:rFonts w:eastAsia="Times New Roman"/>
        <w:bCs/>
      </w:rPr>
      <w:t>.S. Patent and Trademark Office</w:t>
    </w:r>
    <w:r w:rsidR="00360D3C" w:rsidRPr="008470EE">
      <w:tab/>
    </w:r>
    <w:r w:rsidR="007839B2" w:rsidRPr="008470EE">
      <w:t xml:space="preserve">Page </w:t>
    </w:r>
    <w:r w:rsidR="007839B2" w:rsidRPr="008470EE">
      <w:fldChar w:fldCharType="begin"/>
    </w:r>
    <w:r w:rsidR="007839B2" w:rsidRPr="008470EE">
      <w:instrText xml:space="preserve"> PAGE  \* Arabic  \* MERGEFORMAT </w:instrText>
    </w:r>
    <w:r w:rsidR="007839B2" w:rsidRPr="008470EE">
      <w:fldChar w:fldCharType="separate"/>
    </w:r>
    <w:r w:rsidR="00600905">
      <w:rPr>
        <w:noProof/>
      </w:rPr>
      <w:t>2</w:t>
    </w:r>
    <w:r w:rsidR="007839B2" w:rsidRPr="008470E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7D01" w:rsidRDefault="00F27D01" w:rsidP="001154ED">
      <w:r>
        <w:separator/>
      </w:r>
    </w:p>
  </w:footnote>
  <w:footnote w:type="continuationSeparator" w:id="0">
    <w:p w:rsidR="00F27D01" w:rsidRDefault="00F27D01" w:rsidP="001154ED">
      <w:r>
        <w:continuationSeparator/>
      </w:r>
    </w:p>
  </w:footnote>
  <w:footnote w:id="1">
    <w:p w:rsidR="00360D3C" w:rsidRDefault="00360D3C" w:rsidP="00954AF6">
      <w:pPr>
        <w:spacing w:line="252" w:lineRule="auto"/>
        <w:ind w:firstLine="0"/>
        <w:rPr>
          <w:rFonts w:eastAsia="DengXian"/>
          <w:b/>
          <w:sz w:val="24"/>
          <w:szCs w:val="24"/>
        </w:rPr>
      </w:pPr>
      <w:r>
        <w:rPr>
          <w:rStyle w:val="FootnoteReference"/>
        </w:rPr>
        <w:footnoteRef/>
      </w:r>
      <w:r>
        <w:t xml:space="preserve"> </w:t>
      </w:r>
      <w:r w:rsidRPr="00EC1386">
        <w:rPr>
          <w:rFonts w:eastAsia="DengXian"/>
          <w:b/>
          <w:sz w:val="24"/>
          <w:szCs w:val="24"/>
        </w:rPr>
        <w:t>THE USPTO IS PROVIDING THIS TRANSLATION SOLELY AS A CONVENIENCE TO THE ENGLISH-READING PUBLIC. WE HAVE ATTEMPTED TO PROVIDE AN ACCURATE ENGLISH TRANSLATION OF THE CHINESE DOCUMENT, BUT DUE TO THE NUANCES IN TRANSLATING FROM CHINESE TO ENGLISH, SLIGHT DIFFERENCES MAY EXIST.  WE WILL MAKE EVERY EFFORT TO CORRECT ERRORS BROUGHT TO OUR ATTENTION.</w:t>
      </w:r>
    </w:p>
    <w:p w:rsidR="007839B2" w:rsidRDefault="007839B2" w:rsidP="00954AF6">
      <w:pPr>
        <w:spacing w:line="252" w:lineRule="auto"/>
        <w:ind w:firstLine="0"/>
        <w:rPr>
          <w:rFonts w:eastAsia="DengXian"/>
          <w:b/>
          <w:sz w:val="24"/>
          <w:szCs w:val="24"/>
        </w:rPr>
      </w:pPr>
    </w:p>
    <w:p w:rsidR="00360D3C" w:rsidRPr="00EC1386" w:rsidRDefault="00360D3C" w:rsidP="00954AF6">
      <w:pPr>
        <w:spacing w:line="252" w:lineRule="auto"/>
        <w:ind w:firstLine="0"/>
        <w:rPr>
          <w:rFonts w:ascii="Times New Roman" w:eastAsia="DengXian" w:hAnsi="Times New Roman"/>
          <w:sz w:val="24"/>
          <w:szCs w:val="24"/>
        </w:rPr>
      </w:pPr>
    </w:p>
    <w:p w:rsidR="00360D3C" w:rsidRDefault="00360D3C" w:rsidP="00954AF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3C" w:rsidRDefault="00360D3C" w:rsidP="001154ED">
    <w:pPr>
      <w:pStyle w:val="Header"/>
    </w:pPr>
    <w:r>
      <w:rPr>
        <w:noProof/>
        <w:lang w:eastAsia="zh-CN"/>
      </w:rPr>
      <w:drawing>
        <wp:anchor distT="0" distB="0" distL="114300" distR="114300" simplePos="0" relativeHeight="251659264" behindDoc="1" locked="0" layoutInCell="1" allowOverlap="1" wp14:anchorId="6CC1FC66" wp14:editId="68FCC153">
          <wp:simplePos x="0" y="0"/>
          <wp:positionH relativeFrom="page">
            <wp:posOffset>0</wp:posOffset>
          </wp:positionH>
          <wp:positionV relativeFrom="page">
            <wp:posOffset>8626</wp:posOffset>
          </wp:positionV>
          <wp:extent cx="7757962" cy="10039715"/>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nd Illustrator starter page no bleed letter.e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57962" cy="100397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22EA4"/>
    <w:multiLevelType w:val="hybridMultilevel"/>
    <w:tmpl w:val="72C67636"/>
    <w:lvl w:ilvl="0" w:tplc="85245204">
      <w:start w:val="1"/>
      <w:numFmt w:val="upperRoman"/>
      <w:pStyle w:val="Heading2"/>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AF6"/>
    <w:rsid w:val="00000904"/>
    <w:rsid w:val="00000D87"/>
    <w:rsid w:val="00001D3D"/>
    <w:rsid w:val="00002F95"/>
    <w:rsid w:val="000030F9"/>
    <w:rsid w:val="0000344A"/>
    <w:rsid w:val="000035EC"/>
    <w:rsid w:val="00004C72"/>
    <w:rsid w:val="00004E7B"/>
    <w:rsid w:val="000076C8"/>
    <w:rsid w:val="00007B28"/>
    <w:rsid w:val="0001087D"/>
    <w:rsid w:val="00011891"/>
    <w:rsid w:val="00011C93"/>
    <w:rsid w:val="00012837"/>
    <w:rsid w:val="00012E56"/>
    <w:rsid w:val="00012F80"/>
    <w:rsid w:val="000131EC"/>
    <w:rsid w:val="000136FB"/>
    <w:rsid w:val="00014855"/>
    <w:rsid w:val="000159D3"/>
    <w:rsid w:val="00016272"/>
    <w:rsid w:val="00016438"/>
    <w:rsid w:val="00016D76"/>
    <w:rsid w:val="00017C4F"/>
    <w:rsid w:val="000207AF"/>
    <w:rsid w:val="00020ED6"/>
    <w:rsid w:val="00021649"/>
    <w:rsid w:val="00021719"/>
    <w:rsid w:val="000217E4"/>
    <w:rsid w:val="00021F26"/>
    <w:rsid w:val="00023136"/>
    <w:rsid w:val="0002368E"/>
    <w:rsid w:val="00023DA6"/>
    <w:rsid w:val="00023EDE"/>
    <w:rsid w:val="00026CBD"/>
    <w:rsid w:val="00026DEB"/>
    <w:rsid w:val="000279E9"/>
    <w:rsid w:val="00027A87"/>
    <w:rsid w:val="00030F12"/>
    <w:rsid w:val="00030FC9"/>
    <w:rsid w:val="000315B4"/>
    <w:rsid w:val="00031A05"/>
    <w:rsid w:val="00031FED"/>
    <w:rsid w:val="000320A8"/>
    <w:rsid w:val="00032D73"/>
    <w:rsid w:val="00034695"/>
    <w:rsid w:val="00034DD5"/>
    <w:rsid w:val="0003508C"/>
    <w:rsid w:val="000355C3"/>
    <w:rsid w:val="00035EA1"/>
    <w:rsid w:val="00035F55"/>
    <w:rsid w:val="0003693C"/>
    <w:rsid w:val="00037352"/>
    <w:rsid w:val="000374B5"/>
    <w:rsid w:val="000378FE"/>
    <w:rsid w:val="00040450"/>
    <w:rsid w:val="00040A52"/>
    <w:rsid w:val="00041141"/>
    <w:rsid w:val="00041E9B"/>
    <w:rsid w:val="00043225"/>
    <w:rsid w:val="0004347E"/>
    <w:rsid w:val="000467A9"/>
    <w:rsid w:val="00046AFE"/>
    <w:rsid w:val="00046E77"/>
    <w:rsid w:val="00047A55"/>
    <w:rsid w:val="00047C67"/>
    <w:rsid w:val="00051914"/>
    <w:rsid w:val="00051B35"/>
    <w:rsid w:val="00052717"/>
    <w:rsid w:val="00052D72"/>
    <w:rsid w:val="00052E21"/>
    <w:rsid w:val="00053DD6"/>
    <w:rsid w:val="00054EB5"/>
    <w:rsid w:val="000550A9"/>
    <w:rsid w:val="00055CA8"/>
    <w:rsid w:val="00056E9C"/>
    <w:rsid w:val="00057338"/>
    <w:rsid w:val="0005793A"/>
    <w:rsid w:val="000607C7"/>
    <w:rsid w:val="0006260C"/>
    <w:rsid w:val="00062F61"/>
    <w:rsid w:val="00063F8A"/>
    <w:rsid w:val="000647AB"/>
    <w:rsid w:val="000655F1"/>
    <w:rsid w:val="00065BB3"/>
    <w:rsid w:val="000660EC"/>
    <w:rsid w:val="00066B71"/>
    <w:rsid w:val="00067727"/>
    <w:rsid w:val="00070BEB"/>
    <w:rsid w:val="00071D1E"/>
    <w:rsid w:val="000729FC"/>
    <w:rsid w:val="00072DC9"/>
    <w:rsid w:val="000738CD"/>
    <w:rsid w:val="000745EA"/>
    <w:rsid w:val="00076F4A"/>
    <w:rsid w:val="0008058C"/>
    <w:rsid w:val="00081347"/>
    <w:rsid w:val="0008246F"/>
    <w:rsid w:val="000824A4"/>
    <w:rsid w:val="0008285C"/>
    <w:rsid w:val="000839D5"/>
    <w:rsid w:val="00084CC1"/>
    <w:rsid w:val="000871E4"/>
    <w:rsid w:val="0009008D"/>
    <w:rsid w:val="00090E95"/>
    <w:rsid w:val="00091B54"/>
    <w:rsid w:val="00091EA1"/>
    <w:rsid w:val="00093B39"/>
    <w:rsid w:val="00094E18"/>
    <w:rsid w:val="0009603B"/>
    <w:rsid w:val="00096605"/>
    <w:rsid w:val="00096B4F"/>
    <w:rsid w:val="00096B65"/>
    <w:rsid w:val="000972FE"/>
    <w:rsid w:val="000A054B"/>
    <w:rsid w:val="000A0FB3"/>
    <w:rsid w:val="000A3C9E"/>
    <w:rsid w:val="000A3D28"/>
    <w:rsid w:val="000A4792"/>
    <w:rsid w:val="000A5492"/>
    <w:rsid w:val="000A689D"/>
    <w:rsid w:val="000A6BA1"/>
    <w:rsid w:val="000A7107"/>
    <w:rsid w:val="000A71D3"/>
    <w:rsid w:val="000A7FD3"/>
    <w:rsid w:val="000B00B6"/>
    <w:rsid w:val="000B0429"/>
    <w:rsid w:val="000B1596"/>
    <w:rsid w:val="000B185C"/>
    <w:rsid w:val="000B1CDE"/>
    <w:rsid w:val="000B3A30"/>
    <w:rsid w:val="000B445F"/>
    <w:rsid w:val="000B64BB"/>
    <w:rsid w:val="000B71E7"/>
    <w:rsid w:val="000B72E3"/>
    <w:rsid w:val="000B767B"/>
    <w:rsid w:val="000B7FE5"/>
    <w:rsid w:val="000C013E"/>
    <w:rsid w:val="000C02A7"/>
    <w:rsid w:val="000C04F2"/>
    <w:rsid w:val="000C055A"/>
    <w:rsid w:val="000C0CB6"/>
    <w:rsid w:val="000C13FC"/>
    <w:rsid w:val="000C2731"/>
    <w:rsid w:val="000C2996"/>
    <w:rsid w:val="000C2B46"/>
    <w:rsid w:val="000C366A"/>
    <w:rsid w:val="000C4108"/>
    <w:rsid w:val="000C4863"/>
    <w:rsid w:val="000C53C8"/>
    <w:rsid w:val="000C6671"/>
    <w:rsid w:val="000C6814"/>
    <w:rsid w:val="000C71CD"/>
    <w:rsid w:val="000D0307"/>
    <w:rsid w:val="000D0E9F"/>
    <w:rsid w:val="000D15CD"/>
    <w:rsid w:val="000D169D"/>
    <w:rsid w:val="000D204D"/>
    <w:rsid w:val="000D247D"/>
    <w:rsid w:val="000D25E2"/>
    <w:rsid w:val="000D2923"/>
    <w:rsid w:val="000D2B92"/>
    <w:rsid w:val="000D2C25"/>
    <w:rsid w:val="000D2E98"/>
    <w:rsid w:val="000D47F7"/>
    <w:rsid w:val="000D5A8E"/>
    <w:rsid w:val="000D63C2"/>
    <w:rsid w:val="000E085B"/>
    <w:rsid w:val="000E1727"/>
    <w:rsid w:val="000E1EF4"/>
    <w:rsid w:val="000E28FD"/>
    <w:rsid w:val="000E407E"/>
    <w:rsid w:val="000E4105"/>
    <w:rsid w:val="000E442B"/>
    <w:rsid w:val="000E450E"/>
    <w:rsid w:val="000E4B47"/>
    <w:rsid w:val="000E6F33"/>
    <w:rsid w:val="000E6F37"/>
    <w:rsid w:val="000E705E"/>
    <w:rsid w:val="000E7D86"/>
    <w:rsid w:val="000F028C"/>
    <w:rsid w:val="000F0A8E"/>
    <w:rsid w:val="000F200E"/>
    <w:rsid w:val="000F2654"/>
    <w:rsid w:val="000F2A00"/>
    <w:rsid w:val="000F2AA4"/>
    <w:rsid w:val="000F3CB5"/>
    <w:rsid w:val="000F3F26"/>
    <w:rsid w:val="000F4876"/>
    <w:rsid w:val="000F4AA9"/>
    <w:rsid w:val="000F5440"/>
    <w:rsid w:val="000F5BB5"/>
    <w:rsid w:val="000F66C0"/>
    <w:rsid w:val="000F6F02"/>
    <w:rsid w:val="000F7F3F"/>
    <w:rsid w:val="00100317"/>
    <w:rsid w:val="00101822"/>
    <w:rsid w:val="0010313E"/>
    <w:rsid w:val="0010335F"/>
    <w:rsid w:val="0010422E"/>
    <w:rsid w:val="00104AEA"/>
    <w:rsid w:val="00104B1E"/>
    <w:rsid w:val="0010557F"/>
    <w:rsid w:val="00105C25"/>
    <w:rsid w:val="00105F25"/>
    <w:rsid w:val="00106A09"/>
    <w:rsid w:val="00110337"/>
    <w:rsid w:val="00110DD2"/>
    <w:rsid w:val="0011100F"/>
    <w:rsid w:val="00111012"/>
    <w:rsid w:val="00111D8E"/>
    <w:rsid w:val="00113458"/>
    <w:rsid w:val="001143EC"/>
    <w:rsid w:val="001154ED"/>
    <w:rsid w:val="00115B5C"/>
    <w:rsid w:val="00116B1D"/>
    <w:rsid w:val="00116B29"/>
    <w:rsid w:val="001173AB"/>
    <w:rsid w:val="00120C72"/>
    <w:rsid w:val="00121C2D"/>
    <w:rsid w:val="00121D7E"/>
    <w:rsid w:val="0012476F"/>
    <w:rsid w:val="0012676E"/>
    <w:rsid w:val="0012685A"/>
    <w:rsid w:val="00127590"/>
    <w:rsid w:val="00127A06"/>
    <w:rsid w:val="001301DF"/>
    <w:rsid w:val="00130E7F"/>
    <w:rsid w:val="0013101E"/>
    <w:rsid w:val="0013171D"/>
    <w:rsid w:val="001324DE"/>
    <w:rsid w:val="00132B84"/>
    <w:rsid w:val="00132DBA"/>
    <w:rsid w:val="00134DE7"/>
    <w:rsid w:val="00135868"/>
    <w:rsid w:val="00140592"/>
    <w:rsid w:val="00142ACA"/>
    <w:rsid w:val="00143905"/>
    <w:rsid w:val="00143B12"/>
    <w:rsid w:val="00143C43"/>
    <w:rsid w:val="001458DD"/>
    <w:rsid w:val="00147875"/>
    <w:rsid w:val="00150046"/>
    <w:rsid w:val="00150078"/>
    <w:rsid w:val="0015076F"/>
    <w:rsid w:val="00150BA5"/>
    <w:rsid w:val="00150BF5"/>
    <w:rsid w:val="001513B1"/>
    <w:rsid w:val="00151561"/>
    <w:rsid w:val="00153F46"/>
    <w:rsid w:val="00154040"/>
    <w:rsid w:val="00154EA7"/>
    <w:rsid w:val="001555EE"/>
    <w:rsid w:val="00155958"/>
    <w:rsid w:val="00155C79"/>
    <w:rsid w:val="00157623"/>
    <w:rsid w:val="00157775"/>
    <w:rsid w:val="0015779C"/>
    <w:rsid w:val="00157CE5"/>
    <w:rsid w:val="001601A1"/>
    <w:rsid w:val="00161ABE"/>
    <w:rsid w:val="0016283E"/>
    <w:rsid w:val="00163394"/>
    <w:rsid w:val="001647BD"/>
    <w:rsid w:val="00165BF0"/>
    <w:rsid w:val="00166094"/>
    <w:rsid w:val="00166B1D"/>
    <w:rsid w:val="001679B7"/>
    <w:rsid w:val="00167EEC"/>
    <w:rsid w:val="0017016B"/>
    <w:rsid w:val="00172199"/>
    <w:rsid w:val="001724D4"/>
    <w:rsid w:val="00175033"/>
    <w:rsid w:val="0017593D"/>
    <w:rsid w:val="00175A9E"/>
    <w:rsid w:val="00177E31"/>
    <w:rsid w:val="001817C1"/>
    <w:rsid w:val="0018288C"/>
    <w:rsid w:val="0018517A"/>
    <w:rsid w:val="001855F5"/>
    <w:rsid w:val="001857CE"/>
    <w:rsid w:val="00187253"/>
    <w:rsid w:val="001900A9"/>
    <w:rsid w:val="001901DA"/>
    <w:rsid w:val="00190CE7"/>
    <w:rsid w:val="00190D31"/>
    <w:rsid w:val="00191D34"/>
    <w:rsid w:val="001924A9"/>
    <w:rsid w:val="0019360A"/>
    <w:rsid w:val="00193C75"/>
    <w:rsid w:val="00194AD0"/>
    <w:rsid w:val="00194E57"/>
    <w:rsid w:val="00195184"/>
    <w:rsid w:val="00195C85"/>
    <w:rsid w:val="00196030"/>
    <w:rsid w:val="00196EAD"/>
    <w:rsid w:val="00197339"/>
    <w:rsid w:val="00197D1F"/>
    <w:rsid w:val="001A052F"/>
    <w:rsid w:val="001A14C7"/>
    <w:rsid w:val="001A3067"/>
    <w:rsid w:val="001A3258"/>
    <w:rsid w:val="001A393E"/>
    <w:rsid w:val="001A4C36"/>
    <w:rsid w:val="001A5609"/>
    <w:rsid w:val="001A5792"/>
    <w:rsid w:val="001A6FFE"/>
    <w:rsid w:val="001A716E"/>
    <w:rsid w:val="001A7DB0"/>
    <w:rsid w:val="001B0B12"/>
    <w:rsid w:val="001B2468"/>
    <w:rsid w:val="001B2EE9"/>
    <w:rsid w:val="001B3433"/>
    <w:rsid w:val="001B49D2"/>
    <w:rsid w:val="001B5E1D"/>
    <w:rsid w:val="001B5EA8"/>
    <w:rsid w:val="001B6099"/>
    <w:rsid w:val="001B6516"/>
    <w:rsid w:val="001B76D7"/>
    <w:rsid w:val="001B7B7A"/>
    <w:rsid w:val="001C0219"/>
    <w:rsid w:val="001C16D0"/>
    <w:rsid w:val="001C1B6E"/>
    <w:rsid w:val="001C2CE4"/>
    <w:rsid w:val="001C3154"/>
    <w:rsid w:val="001C4C24"/>
    <w:rsid w:val="001C4E2C"/>
    <w:rsid w:val="001C5156"/>
    <w:rsid w:val="001C5353"/>
    <w:rsid w:val="001C5B81"/>
    <w:rsid w:val="001C5EEE"/>
    <w:rsid w:val="001C6A4F"/>
    <w:rsid w:val="001C6B29"/>
    <w:rsid w:val="001C6DFD"/>
    <w:rsid w:val="001C75E4"/>
    <w:rsid w:val="001C76B1"/>
    <w:rsid w:val="001C7941"/>
    <w:rsid w:val="001C7951"/>
    <w:rsid w:val="001D08E7"/>
    <w:rsid w:val="001D0CE2"/>
    <w:rsid w:val="001D11A0"/>
    <w:rsid w:val="001D261B"/>
    <w:rsid w:val="001D3DB2"/>
    <w:rsid w:val="001D40FF"/>
    <w:rsid w:val="001D5D7E"/>
    <w:rsid w:val="001D67D6"/>
    <w:rsid w:val="001D6A96"/>
    <w:rsid w:val="001D6F2D"/>
    <w:rsid w:val="001D71E0"/>
    <w:rsid w:val="001E01F6"/>
    <w:rsid w:val="001E09CE"/>
    <w:rsid w:val="001E214D"/>
    <w:rsid w:val="001E43FA"/>
    <w:rsid w:val="001E442F"/>
    <w:rsid w:val="001E4976"/>
    <w:rsid w:val="001E498C"/>
    <w:rsid w:val="001E4A1F"/>
    <w:rsid w:val="001E55E1"/>
    <w:rsid w:val="001E56A7"/>
    <w:rsid w:val="001E6347"/>
    <w:rsid w:val="001F0EFE"/>
    <w:rsid w:val="001F0FEE"/>
    <w:rsid w:val="001F24B0"/>
    <w:rsid w:val="001F2C2F"/>
    <w:rsid w:val="001F35FA"/>
    <w:rsid w:val="001F37ED"/>
    <w:rsid w:val="001F3CDF"/>
    <w:rsid w:val="001F45B2"/>
    <w:rsid w:val="001F500B"/>
    <w:rsid w:val="001F51AE"/>
    <w:rsid w:val="001F5D18"/>
    <w:rsid w:val="001F7456"/>
    <w:rsid w:val="001F750C"/>
    <w:rsid w:val="00200393"/>
    <w:rsid w:val="00200741"/>
    <w:rsid w:val="00201C46"/>
    <w:rsid w:val="00201D15"/>
    <w:rsid w:val="002022A5"/>
    <w:rsid w:val="00202611"/>
    <w:rsid w:val="00203876"/>
    <w:rsid w:val="0020453B"/>
    <w:rsid w:val="00204BCE"/>
    <w:rsid w:val="00204DED"/>
    <w:rsid w:val="00207941"/>
    <w:rsid w:val="002102B3"/>
    <w:rsid w:val="00210A3C"/>
    <w:rsid w:val="00210C45"/>
    <w:rsid w:val="00211CCE"/>
    <w:rsid w:val="0021240A"/>
    <w:rsid w:val="002127C9"/>
    <w:rsid w:val="00215E8C"/>
    <w:rsid w:val="00215FD0"/>
    <w:rsid w:val="002171A4"/>
    <w:rsid w:val="002171F1"/>
    <w:rsid w:val="002207E1"/>
    <w:rsid w:val="00220FA1"/>
    <w:rsid w:val="0022116A"/>
    <w:rsid w:val="002215EE"/>
    <w:rsid w:val="00224BEB"/>
    <w:rsid w:val="00225CEC"/>
    <w:rsid w:val="0022700D"/>
    <w:rsid w:val="002271FC"/>
    <w:rsid w:val="00227319"/>
    <w:rsid w:val="002304AB"/>
    <w:rsid w:val="00230F5E"/>
    <w:rsid w:val="002319FB"/>
    <w:rsid w:val="00231A13"/>
    <w:rsid w:val="00231CC6"/>
    <w:rsid w:val="00232829"/>
    <w:rsid w:val="00232CD8"/>
    <w:rsid w:val="0023400E"/>
    <w:rsid w:val="00235315"/>
    <w:rsid w:val="002363EC"/>
    <w:rsid w:val="002364FB"/>
    <w:rsid w:val="00236A3A"/>
    <w:rsid w:val="00237A59"/>
    <w:rsid w:val="0024045D"/>
    <w:rsid w:val="00241748"/>
    <w:rsid w:val="0024179A"/>
    <w:rsid w:val="00242C7F"/>
    <w:rsid w:val="00244A3F"/>
    <w:rsid w:val="00245547"/>
    <w:rsid w:val="00246AE8"/>
    <w:rsid w:val="00246D84"/>
    <w:rsid w:val="00247A94"/>
    <w:rsid w:val="00250465"/>
    <w:rsid w:val="0025062F"/>
    <w:rsid w:val="0025091D"/>
    <w:rsid w:val="00250A60"/>
    <w:rsid w:val="00250BD6"/>
    <w:rsid w:val="00250C09"/>
    <w:rsid w:val="00251E46"/>
    <w:rsid w:val="002521FB"/>
    <w:rsid w:val="00252917"/>
    <w:rsid w:val="00253407"/>
    <w:rsid w:val="0025438C"/>
    <w:rsid w:val="00254954"/>
    <w:rsid w:val="002555F5"/>
    <w:rsid w:val="00256741"/>
    <w:rsid w:val="002570CB"/>
    <w:rsid w:val="00257F26"/>
    <w:rsid w:val="002611DC"/>
    <w:rsid w:val="00261805"/>
    <w:rsid w:val="002623AD"/>
    <w:rsid w:val="00262BC7"/>
    <w:rsid w:val="00262C21"/>
    <w:rsid w:val="00264177"/>
    <w:rsid w:val="0026418B"/>
    <w:rsid w:val="002646F3"/>
    <w:rsid w:val="002648E0"/>
    <w:rsid w:val="0026542B"/>
    <w:rsid w:val="00265645"/>
    <w:rsid w:val="002670DA"/>
    <w:rsid w:val="002674FE"/>
    <w:rsid w:val="0026776A"/>
    <w:rsid w:val="00270FC5"/>
    <w:rsid w:val="00271522"/>
    <w:rsid w:val="00271BC7"/>
    <w:rsid w:val="00271D6B"/>
    <w:rsid w:val="002723EA"/>
    <w:rsid w:val="002728EE"/>
    <w:rsid w:val="00272E8B"/>
    <w:rsid w:val="00273753"/>
    <w:rsid w:val="00273C24"/>
    <w:rsid w:val="00273D26"/>
    <w:rsid w:val="00273E8E"/>
    <w:rsid w:val="00274213"/>
    <w:rsid w:val="00274A0E"/>
    <w:rsid w:val="002753E4"/>
    <w:rsid w:val="00275E66"/>
    <w:rsid w:val="002760A2"/>
    <w:rsid w:val="00276EED"/>
    <w:rsid w:val="00277312"/>
    <w:rsid w:val="002777C3"/>
    <w:rsid w:val="002779E4"/>
    <w:rsid w:val="00280066"/>
    <w:rsid w:val="0028020D"/>
    <w:rsid w:val="00282BFC"/>
    <w:rsid w:val="0028340E"/>
    <w:rsid w:val="0028342A"/>
    <w:rsid w:val="00283715"/>
    <w:rsid w:val="0028371A"/>
    <w:rsid w:val="00283916"/>
    <w:rsid w:val="00283F0C"/>
    <w:rsid w:val="00284C4A"/>
    <w:rsid w:val="002853E2"/>
    <w:rsid w:val="00286930"/>
    <w:rsid w:val="0028699A"/>
    <w:rsid w:val="002877AB"/>
    <w:rsid w:val="0028789E"/>
    <w:rsid w:val="00291AE2"/>
    <w:rsid w:val="00291AFF"/>
    <w:rsid w:val="00292620"/>
    <w:rsid w:val="00294E19"/>
    <w:rsid w:val="002951D6"/>
    <w:rsid w:val="002957A5"/>
    <w:rsid w:val="00295EFE"/>
    <w:rsid w:val="0029686F"/>
    <w:rsid w:val="0029757D"/>
    <w:rsid w:val="00297B61"/>
    <w:rsid w:val="002A04D7"/>
    <w:rsid w:val="002A0692"/>
    <w:rsid w:val="002A0817"/>
    <w:rsid w:val="002A08D2"/>
    <w:rsid w:val="002A1632"/>
    <w:rsid w:val="002A39B0"/>
    <w:rsid w:val="002A402F"/>
    <w:rsid w:val="002A457E"/>
    <w:rsid w:val="002A5B98"/>
    <w:rsid w:val="002A625D"/>
    <w:rsid w:val="002A7AF3"/>
    <w:rsid w:val="002B0172"/>
    <w:rsid w:val="002B02E5"/>
    <w:rsid w:val="002B03E7"/>
    <w:rsid w:val="002B55FB"/>
    <w:rsid w:val="002B6CE3"/>
    <w:rsid w:val="002B7412"/>
    <w:rsid w:val="002C0C0D"/>
    <w:rsid w:val="002C0FA2"/>
    <w:rsid w:val="002C106A"/>
    <w:rsid w:val="002C130D"/>
    <w:rsid w:val="002C13BD"/>
    <w:rsid w:val="002C1903"/>
    <w:rsid w:val="002C2937"/>
    <w:rsid w:val="002C33FA"/>
    <w:rsid w:val="002C3843"/>
    <w:rsid w:val="002C39F4"/>
    <w:rsid w:val="002C562D"/>
    <w:rsid w:val="002C57E5"/>
    <w:rsid w:val="002C5DA8"/>
    <w:rsid w:val="002C5E88"/>
    <w:rsid w:val="002C728E"/>
    <w:rsid w:val="002D02A1"/>
    <w:rsid w:val="002D0977"/>
    <w:rsid w:val="002D0B3C"/>
    <w:rsid w:val="002D1B0A"/>
    <w:rsid w:val="002D237D"/>
    <w:rsid w:val="002D2A90"/>
    <w:rsid w:val="002D349D"/>
    <w:rsid w:val="002D47D3"/>
    <w:rsid w:val="002D48D4"/>
    <w:rsid w:val="002D4A6B"/>
    <w:rsid w:val="002D4B34"/>
    <w:rsid w:val="002D59A5"/>
    <w:rsid w:val="002D5F67"/>
    <w:rsid w:val="002D7BDD"/>
    <w:rsid w:val="002D7FF3"/>
    <w:rsid w:val="002E170E"/>
    <w:rsid w:val="002E3EB2"/>
    <w:rsid w:val="002E44F9"/>
    <w:rsid w:val="002E678F"/>
    <w:rsid w:val="002E6950"/>
    <w:rsid w:val="002E7283"/>
    <w:rsid w:val="002E75C1"/>
    <w:rsid w:val="002F1BEA"/>
    <w:rsid w:val="002F200F"/>
    <w:rsid w:val="002F2017"/>
    <w:rsid w:val="002F2B7B"/>
    <w:rsid w:val="002F2F41"/>
    <w:rsid w:val="002F332D"/>
    <w:rsid w:val="002F3B36"/>
    <w:rsid w:val="002F3DFA"/>
    <w:rsid w:val="002F43F8"/>
    <w:rsid w:val="002F4BF1"/>
    <w:rsid w:val="002F4D7E"/>
    <w:rsid w:val="002F5B04"/>
    <w:rsid w:val="002F68BD"/>
    <w:rsid w:val="002F6C2D"/>
    <w:rsid w:val="00300351"/>
    <w:rsid w:val="00300723"/>
    <w:rsid w:val="00300E25"/>
    <w:rsid w:val="00300F0C"/>
    <w:rsid w:val="00303083"/>
    <w:rsid w:val="00303174"/>
    <w:rsid w:val="0030358E"/>
    <w:rsid w:val="00303D29"/>
    <w:rsid w:val="00304DC7"/>
    <w:rsid w:val="00305037"/>
    <w:rsid w:val="003053C5"/>
    <w:rsid w:val="00305AEC"/>
    <w:rsid w:val="00306091"/>
    <w:rsid w:val="00306831"/>
    <w:rsid w:val="00310117"/>
    <w:rsid w:val="00312266"/>
    <w:rsid w:val="003126D5"/>
    <w:rsid w:val="00312E88"/>
    <w:rsid w:val="00312F2B"/>
    <w:rsid w:val="003134CB"/>
    <w:rsid w:val="0031592E"/>
    <w:rsid w:val="00315C08"/>
    <w:rsid w:val="003160D6"/>
    <w:rsid w:val="0031730D"/>
    <w:rsid w:val="003178F9"/>
    <w:rsid w:val="003202B6"/>
    <w:rsid w:val="00320DB6"/>
    <w:rsid w:val="00321329"/>
    <w:rsid w:val="0032141E"/>
    <w:rsid w:val="003226FC"/>
    <w:rsid w:val="00323301"/>
    <w:rsid w:val="00324DAD"/>
    <w:rsid w:val="0032664A"/>
    <w:rsid w:val="00330B8B"/>
    <w:rsid w:val="0033115B"/>
    <w:rsid w:val="003314E2"/>
    <w:rsid w:val="00331CEE"/>
    <w:rsid w:val="00332BA3"/>
    <w:rsid w:val="003337AB"/>
    <w:rsid w:val="00333BF1"/>
    <w:rsid w:val="00334062"/>
    <w:rsid w:val="0033552B"/>
    <w:rsid w:val="00335B29"/>
    <w:rsid w:val="003367EE"/>
    <w:rsid w:val="00340525"/>
    <w:rsid w:val="00340EDE"/>
    <w:rsid w:val="00341297"/>
    <w:rsid w:val="003424EC"/>
    <w:rsid w:val="00342F82"/>
    <w:rsid w:val="00343E6A"/>
    <w:rsid w:val="00344C0B"/>
    <w:rsid w:val="00345322"/>
    <w:rsid w:val="00347066"/>
    <w:rsid w:val="003470A8"/>
    <w:rsid w:val="0034754C"/>
    <w:rsid w:val="003478C6"/>
    <w:rsid w:val="00350688"/>
    <w:rsid w:val="00350DDE"/>
    <w:rsid w:val="0035140A"/>
    <w:rsid w:val="0035270B"/>
    <w:rsid w:val="0035312E"/>
    <w:rsid w:val="00354696"/>
    <w:rsid w:val="003558BC"/>
    <w:rsid w:val="00355C31"/>
    <w:rsid w:val="003562AC"/>
    <w:rsid w:val="00356D94"/>
    <w:rsid w:val="003570F5"/>
    <w:rsid w:val="003603D0"/>
    <w:rsid w:val="0036048D"/>
    <w:rsid w:val="00360D3C"/>
    <w:rsid w:val="00361BCB"/>
    <w:rsid w:val="00361C0B"/>
    <w:rsid w:val="00362124"/>
    <w:rsid w:val="0036290D"/>
    <w:rsid w:val="0036395F"/>
    <w:rsid w:val="00363DDD"/>
    <w:rsid w:val="003648F3"/>
    <w:rsid w:val="00364B92"/>
    <w:rsid w:val="0036502B"/>
    <w:rsid w:val="003659BE"/>
    <w:rsid w:val="003668CB"/>
    <w:rsid w:val="00366E75"/>
    <w:rsid w:val="0037068D"/>
    <w:rsid w:val="0037103C"/>
    <w:rsid w:val="00372C12"/>
    <w:rsid w:val="00372CAA"/>
    <w:rsid w:val="00373F09"/>
    <w:rsid w:val="00374758"/>
    <w:rsid w:val="00374C97"/>
    <w:rsid w:val="0037525C"/>
    <w:rsid w:val="00375586"/>
    <w:rsid w:val="0037633F"/>
    <w:rsid w:val="00377529"/>
    <w:rsid w:val="003776F4"/>
    <w:rsid w:val="00377B19"/>
    <w:rsid w:val="00377EED"/>
    <w:rsid w:val="0038074B"/>
    <w:rsid w:val="0038176C"/>
    <w:rsid w:val="00381DE1"/>
    <w:rsid w:val="00384242"/>
    <w:rsid w:val="00384CBE"/>
    <w:rsid w:val="00384E40"/>
    <w:rsid w:val="00385705"/>
    <w:rsid w:val="00385821"/>
    <w:rsid w:val="00385E2F"/>
    <w:rsid w:val="00386589"/>
    <w:rsid w:val="003867F5"/>
    <w:rsid w:val="003877DD"/>
    <w:rsid w:val="0039041B"/>
    <w:rsid w:val="00390A2D"/>
    <w:rsid w:val="00393E46"/>
    <w:rsid w:val="003940C8"/>
    <w:rsid w:val="003941EB"/>
    <w:rsid w:val="0039492E"/>
    <w:rsid w:val="0039611F"/>
    <w:rsid w:val="00396F77"/>
    <w:rsid w:val="00397706"/>
    <w:rsid w:val="00397F9B"/>
    <w:rsid w:val="003A0BDE"/>
    <w:rsid w:val="003A1072"/>
    <w:rsid w:val="003A248E"/>
    <w:rsid w:val="003A2EE4"/>
    <w:rsid w:val="003A4DCA"/>
    <w:rsid w:val="003A56E0"/>
    <w:rsid w:val="003A6DE2"/>
    <w:rsid w:val="003A6DF4"/>
    <w:rsid w:val="003A7D70"/>
    <w:rsid w:val="003B0425"/>
    <w:rsid w:val="003B2251"/>
    <w:rsid w:val="003B2B89"/>
    <w:rsid w:val="003B2DD9"/>
    <w:rsid w:val="003B41CE"/>
    <w:rsid w:val="003B5FD5"/>
    <w:rsid w:val="003B664D"/>
    <w:rsid w:val="003B7091"/>
    <w:rsid w:val="003B7A3B"/>
    <w:rsid w:val="003B7DD0"/>
    <w:rsid w:val="003B7F3B"/>
    <w:rsid w:val="003C0616"/>
    <w:rsid w:val="003C1946"/>
    <w:rsid w:val="003C1E89"/>
    <w:rsid w:val="003C2209"/>
    <w:rsid w:val="003C3054"/>
    <w:rsid w:val="003C3295"/>
    <w:rsid w:val="003C39E3"/>
    <w:rsid w:val="003C42DC"/>
    <w:rsid w:val="003C658E"/>
    <w:rsid w:val="003C6FA5"/>
    <w:rsid w:val="003D052B"/>
    <w:rsid w:val="003D183B"/>
    <w:rsid w:val="003D188E"/>
    <w:rsid w:val="003D2413"/>
    <w:rsid w:val="003D251B"/>
    <w:rsid w:val="003D3687"/>
    <w:rsid w:val="003D466E"/>
    <w:rsid w:val="003D47BC"/>
    <w:rsid w:val="003D4A30"/>
    <w:rsid w:val="003D4BD2"/>
    <w:rsid w:val="003D632C"/>
    <w:rsid w:val="003D696E"/>
    <w:rsid w:val="003D6E03"/>
    <w:rsid w:val="003E0171"/>
    <w:rsid w:val="003E154C"/>
    <w:rsid w:val="003E1FDF"/>
    <w:rsid w:val="003E28DB"/>
    <w:rsid w:val="003E2CC2"/>
    <w:rsid w:val="003E3651"/>
    <w:rsid w:val="003E424A"/>
    <w:rsid w:val="003E489B"/>
    <w:rsid w:val="003E51B7"/>
    <w:rsid w:val="003E53E6"/>
    <w:rsid w:val="003E60A3"/>
    <w:rsid w:val="003E6878"/>
    <w:rsid w:val="003E6E3B"/>
    <w:rsid w:val="003E7608"/>
    <w:rsid w:val="003F1046"/>
    <w:rsid w:val="003F176E"/>
    <w:rsid w:val="003F1BD0"/>
    <w:rsid w:val="003F2247"/>
    <w:rsid w:val="003F2C55"/>
    <w:rsid w:val="003F365F"/>
    <w:rsid w:val="003F39ED"/>
    <w:rsid w:val="003F4ABD"/>
    <w:rsid w:val="003F4E81"/>
    <w:rsid w:val="003F5332"/>
    <w:rsid w:val="003F5AED"/>
    <w:rsid w:val="003F5DFC"/>
    <w:rsid w:val="003F5E8D"/>
    <w:rsid w:val="003F605E"/>
    <w:rsid w:val="003F6510"/>
    <w:rsid w:val="003F7F9B"/>
    <w:rsid w:val="00400219"/>
    <w:rsid w:val="00400F9C"/>
    <w:rsid w:val="00401051"/>
    <w:rsid w:val="004011A4"/>
    <w:rsid w:val="00402153"/>
    <w:rsid w:val="00403525"/>
    <w:rsid w:val="00403FE9"/>
    <w:rsid w:val="004042E1"/>
    <w:rsid w:val="00404C2D"/>
    <w:rsid w:val="00407C03"/>
    <w:rsid w:val="004102DB"/>
    <w:rsid w:val="00410DFD"/>
    <w:rsid w:val="004136DC"/>
    <w:rsid w:val="0041399A"/>
    <w:rsid w:val="0041496E"/>
    <w:rsid w:val="0041511B"/>
    <w:rsid w:val="004164D3"/>
    <w:rsid w:val="00416F3E"/>
    <w:rsid w:val="0041729E"/>
    <w:rsid w:val="00417770"/>
    <w:rsid w:val="00417BAF"/>
    <w:rsid w:val="00417C1A"/>
    <w:rsid w:val="00420496"/>
    <w:rsid w:val="0042120B"/>
    <w:rsid w:val="0042191C"/>
    <w:rsid w:val="00421D90"/>
    <w:rsid w:val="00422CC8"/>
    <w:rsid w:val="00423B97"/>
    <w:rsid w:val="00423B9B"/>
    <w:rsid w:val="00424CE6"/>
    <w:rsid w:val="00425D99"/>
    <w:rsid w:val="00426EC8"/>
    <w:rsid w:val="00430B1B"/>
    <w:rsid w:val="00430BF3"/>
    <w:rsid w:val="004310DB"/>
    <w:rsid w:val="0043111D"/>
    <w:rsid w:val="0043125A"/>
    <w:rsid w:val="0043125E"/>
    <w:rsid w:val="00431F10"/>
    <w:rsid w:val="004321BD"/>
    <w:rsid w:val="004326BC"/>
    <w:rsid w:val="004333CB"/>
    <w:rsid w:val="004334E6"/>
    <w:rsid w:val="0043419A"/>
    <w:rsid w:val="00436D8A"/>
    <w:rsid w:val="0043762F"/>
    <w:rsid w:val="00437AF7"/>
    <w:rsid w:val="004403CF"/>
    <w:rsid w:val="00440F78"/>
    <w:rsid w:val="00441F71"/>
    <w:rsid w:val="0044214F"/>
    <w:rsid w:val="004422FF"/>
    <w:rsid w:val="00443821"/>
    <w:rsid w:val="00444FDC"/>
    <w:rsid w:val="0044560A"/>
    <w:rsid w:val="004467E2"/>
    <w:rsid w:val="0044798A"/>
    <w:rsid w:val="00450C51"/>
    <w:rsid w:val="00450CBE"/>
    <w:rsid w:val="00451A25"/>
    <w:rsid w:val="00451A32"/>
    <w:rsid w:val="00451C50"/>
    <w:rsid w:val="00452E9A"/>
    <w:rsid w:val="004535C4"/>
    <w:rsid w:val="00453A29"/>
    <w:rsid w:val="0045489C"/>
    <w:rsid w:val="00454ABE"/>
    <w:rsid w:val="004562E7"/>
    <w:rsid w:val="00457811"/>
    <w:rsid w:val="00460C2D"/>
    <w:rsid w:val="00461665"/>
    <w:rsid w:val="00462A8A"/>
    <w:rsid w:val="00462D78"/>
    <w:rsid w:val="00463265"/>
    <w:rsid w:val="00463C04"/>
    <w:rsid w:val="0046437B"/>
    <w:rsid w:val="00465557"/>
    <w:rsid w:val="004673A9"/>
    <w:rsid w:val="004674EF"/>
    <w:rsid w:val="004678D4"/>
    <w:rsid w:val="00470128"/>
    <w:rsid w:val="004701C3"/>
    <w:rsid w:val="00470924"/>
    <w:rsid w:val="00471C07"/>
    <w:rsid w:val="00472B11"/>
    <w:rsid w:val="004734BC"/>
    <w:rsid w:val="004737FD"/>
    <w:rsid w:val="00474A74"/>
    <w:rsid w:val="004751B4"/>
    <w:rsid w:val="00475781"/>
    <w:rsid w:val="00475953"/>
    <w:rsid w:val="00475C4E"/>
    <w:rsid w:val="00475DCB"/>
    <w:rsid w:val="00476644"/>
    <w:rsid w:val="004766E3"/>
    <w:rsid w:val="004769D1"/>
    <w:rsid w:val="004803A5"/>
    <w:rsid w:val="0048064A"/>
    <w:rsid w:val="00482348"/>
    <w:rsid w:val="0048257C"/>
    <w:rsid w:val="00482B92"/>
    <w:rsid w:val="00483086"/>
    <w:rsid w:val="00483109"/>
    <w:rsid w:val="0048343B"/>
    <w:rsid w:val="00483D28"/>
    <w:rsid w:val="00484AA1"/>
    <w:rsid w:val="00486143"/>
    <w:rsid w:val="00486C32"/>
    <w:rsid w:val="00486E67"/>
    <w:rsid w:val="0048745E"/>
    <w:rsid w:val="00487F6E"/>
    <w:rsid w:val="0049076C"/>
    <w:rsid w:val="0049210C"/>
    <w:rsid w:val="004924BB"/>
    <w:rsid w:val="00495AFE"/>
    <w:rsid w:val="00496AF2"/>
    <w:rsid w:val="00497610"/>
    <w:rsid w:val="004A000C"/>
    <w:rsid w:val="004A08F5"/>
    <w:rsid w:val="004A1345"/>
    <w:rsid w:val="004A1C66"/>
    <w:rsid w:val="004A2097"/>
    <w:rsid w:val="004A2CB1"/>
    <w:rsid w:val="004A3810"/>
    <w:rsid w:val="004A3FC7"/>
    <w:rsid w:val="004A5021"/>
    <w:rsid w:val="004A5436"/>
    <w:rsid w:val="004A58CE"/>
    <w:rsid w:val="004A5CA5"/>
    <w:rsid w:val="004A6251"/>
    <w:rsid w:val="004A701E"/>
    <w:rsid w:val="004A76B8"/>
    <w:rsid w:val="004B0035"/>
    <w:rsid w:val="004B06EC"/>
    <w:rsid w:val="004B0ABD"/>
    <w:rsid w:val="004B211D"/>
    <w:rsid w:val="004B2CC2"/>
    <w:rsid w:val="004B2E5C"/>
    <w:rsid w:val="004B3C30"/>
    <w:rsid w:val="004B3E6F"/>
    <w:rsid w:val="004B45AF"/>
    <w:rsid w:val="004B4AF5"/>
    <w:rsid w:val="004B4FC1"/>
    <w:rsid w:val="004B5370"/>
    <w:rsid w:val="004B5521"/>
    <w:rsid w:val="004B5F2F"/>
    <w:rsid w:val="004B626A"/>
    <w:rsid w:val="004B6299"/>
    <w:rsid w:val="004B6937"/>
    <w:rsid w:val="004B74EF"/>
    <w:rsid w:val="004B77B2"/>
    <w:rsid w:val="004B7E55"/>
    <w:rsid w:val="004C079E"/>
    <w:rsid w:val="004C0998"/>
    <w:rsid w:val="004C0C81"/>
    <w:rsid w:val="004C11CA"/>
    <w:rsid w:val="004C1F1D"/>
    <w:rsid w:val="004C3000"/>
    <w:rsid w:val="004C3127"/>
    <w:rsid w:val="004C53E5"/>
    <w:rsid w:val="004C5719"/>
    <w:rsid w:val="004C5BEF"/>
    <w:rsid w:val="004C6D01"/>
    <w:rsid w:val="004D00E6"/>
    <w:rsid w:val="004D080E"/>
    <w:rsid w:val="004D10B5"/>
    <w:rsid w:val="004D274A"/>
    <w:rsid w:val="004D2B33"/>
    <w:rsid w:val="004D2DCC"/>
    <w:rsid w:val="004D31FA"/>
    <w:rsid w:val="004D39C7"/>
    <w:rsid w:val="004D41A0"/>
    <w:rsid w:val="004D4B64"/>
    <w:rsid w:val="004D4E65"/>
    <w:rsid w:val="004D5008"/>
    <w:rsid w:val="004D5AE8"/>
    <w:rsid w:val="004D794D"/>
    <w:rsid w:val="004E0123"/>
    <w:rsid w:val="004E074B"/>
    <w:rsid w:val="004E095E"/>
    <w:rsid w:val="004E110E"/>
    <w:rsid w:val="004E19C9"/>
    <w:rsid w:val="004E2FBE"/>
    <w:rsid w:val="004E3DB3"/>
    <w:rsid w:val="004E4148"/>
    <w:rsid w:val="004E479D"/>
    <w:rsid w:val="004E6C27"/>
    <w:rsid w:val="004E7203"/>
    <w:rsid w:val="004F0709"/>
    <w:rsid w:val="004F14AC"/>
    <w:rsid w:val="004F2F19"/>
    <w:rsid w:val="004F3548"/>
    <w:rsid w:val="004F4135"/>
    <w:rsid w:val="004F77D4"/>
    <w:rsid w:val="004F7F1D"/>
    <w:rsid w:val="00500E4D"/>
    <w:rsid w:val="00502057"/>
    <w:rsid w:val="00502819"/>
    <w:rsid w:val="00504214"/>
    <w:rsid w:val="0050556A"/>
    <w:rsid w:val="005056FA"/>
    <w:rsid w:val="00506EFB"/>
    <w:rsid w:val="00506FBE"/>
    <w:rsid w:val="00507FF5"/>
    <w:rsid w:val="005103C5"/>
    <w:rsid w:val="005103E8"/>
    <w:rsid w:val="0051086E"/>
    <w:rsid w:val="00510E43"/>
    <w:rsid w:val="00512F39"/>
    <w:rsid w:val="00514D73"/>
    <w:rsid w:val="00515C86"/>
    <w:rsid w:val="005165F6"/>
    <w:rsid w:val="0051688C"/>
    <w:rsid w:val="00517814"/>
    <w:rsid w:val="00517B56"/>
    <w:rsid w:val="00517BD2"/>
    <w:rsid w:val="00520352"/>
    <w:rsid w:val="005203F6"/>
    <w:rsid w:val="005216EC"/>
    <w:rsid w:val="00521F0A"/>
    <w:rsid w:val="00522872"/>
    <w:rsid w:val="00523A69"/>
    <w:rsid w:val="005240AD"/>
    <w:rsid w:val="00524947"/>
    <w:rsid w:val="005303ED"/>
    <w:rsid w:val="0053115F"/>
    <w:rsid w:val="0053339D"/>
    <w:rsid w:val="005334D4"/>
    <w:rsid w:val="005339DE"/>
    <w:rsid w:val="0053584D"/>
    <w:rsid w:val="00536388"/>
    <w:rsid w:val="00536508"/>
    <w:rsid w:val="005365DF"/>
    <w:rsid w:val="00536B29"/>
    <w:rsid w:val="00537E4B"/>
    <w:rsid w:val="00541788"/>
    <w:rsid w:val="00542208"/>
    <w:rsid w:val="005422FC"/>
    <w:rsid w:val="00542F27"/>
    <w:rsid w:val="00543B21"/>
    <w:rsid w:val="00544099"/>
    <w:rsid w:val="0054450E"/>
    <w:rsid w:val="00544B2E"/>
    <w:rsid w:val="00544C9B"/>
    <w:rsid w:val="00544D7B"/>
    <w:rsid w:val="00545833"/>
    <w:rsid w:val="00546AE2"/>
    <w:rsid w:val="00546E99"/>
    <w:rsid w:val="00547165"/>
    <w:rsid w:val="00551588"/>
    <w:rsid w:val="00551812"/>
    <w:rsid w:val="005571F4"/>
    <w:rsid w:val="005578D0"/>
    <w:rsid w:val="00557E50"/>
    <w:rsid w:val="00557FFB"/>
    <w:rsid w:val="0056057F"/>
    <w:rsid w:val="005617B9"/>
    <w:rsid w:val="00562D9C"/>
    <w:rsid w:val="005638BC"/>
    <w:rsid w:val="00563E51"/>
    <w:rsid w:val="005642D5"/>
    <w:rsid w:val="005643F5"/>
    <w:rsid w:val="00564B7D"/>
    <w:rsid w:val="0056551E"/>
    <w:rsid w:val="005655C3"/>
    <w:rsid w:val="005659AE"/>
    <w:rsid w:val="005665F8"/>
    <w:rsid w:val="00567749"/>
    <w:rsid w:val="00570321"/>
    <w:rsid w:val="00570A1B"/>
    <w:rsid w:val="00570ACB"/>
    <w:rsid w:val="005710C2"/>
    <w:rsid w:val="005710E4"/>
    <w:rsid w:val="005714D0"/>
    <w:rsid w:val="00571695"/>
    <w:rsid w:val="005746E1"/>
    <w:rsid w:val="0057605E"/>
    <w:rsid w:val="005767F5"/>
    <w:rsid w:val="005773BC"/>
    <w:rsid w:val="00577ECE"/>
    <w:rsid w:val="00581C35"/>
    <w:rsid w:val="00581E11"/>
    <w:rsid w:val="005836D6"/>
    <w:rsid w:val="00583E1B"/>
    <w:rsid w:val="00584924"/>
    <w:rsid w:val="00584B6F"/>
    <w:rsid w:val="00584BA9"/>
    <w:rsid w:val="00585C05"/>
    <w:rsid w:val="00585CDA"/>
    <w:rsid w:val="00587C01"/>
    <w:rsid w:val="00587FE0"/>
    <w:rsid w:val="00591852"/>
    <w:rsid w:val="00592561"/>
    <w:rsid w:val="00592B5D"/>
    <w:rsid w:val="00592CC5"/>
    <w:rsid w:val="00592E3B"/>
    <w:rsid w:val="00592E9F"/>
    <w:rsid w:val="00593887"/>
    <w:rsid w:val="00593BFA"/>
    <w:rsid w:val="00593C7F"/>
    <w:rsid w:val="005952A3"/>
    <w:rsid w:val="0059595D"/>
    <w:rsid w:val="0059690D"/>
    <w:rsid w:val="005A044E"/>
    <w:rsid w:val="005A1A84"/>
    <w:rsid w:val="005A1B22"/>
    <w:rsid w:val="005A1DD4"/>
    <w:rsid w:val="005A202A"/>
    <w:rsid w:val="005A2BE5"/>
    <w:rsid w:val="005A3535"/>
    <w:rsid w:val="005A4B36"/>
    <w:rsid w:val="005A6CB1"/>
    <w:rsid w:val="005B155B"/>
    <w:rsid w:val="005B2063"/>
    <w:rsid w:val="005B240E"/>
    <w:rsid w:val="005B3BE8"/>
    <w:rsid w:val="005B4257"/>
    <w:rsid w:val="005B461E"/>
    <w:rsid w:val="005B6545"/>
    <w:rsid w:val="005C01FC"/>
    <w:rsid w:val="005C16DC"/>
    <w:rsid w:val="005C2CD9"/>
    <w:rsid w:val="005C2F50"/>
    <w:rsid w:val="005C39EC"/>
    <w:rsid w:val="005C4777"/>
    <w:rsid w:val="005C49C8"/>
    <w:rsid w:val="005C50A3"/>
    <w:rsid w:val="005C5429"/>
    <w:rsid w:val="005C7840"/>
    <w:rsid w:val="005C79C2"/>
    <w:rsid w:val="005C7B62"/>
    <w:rsid w:val="005D0009"/>
    <w:rsid w:val="005D0DEB"/>
    <w:rsid w:val="005D0F19"/>
    <w:rsid w:val="005D23C6"/>
    <w:rsid w:val="005D374F"/>
    <w:rsid w:val="005D4B96"/>
    <w:rsid w:val="005D5217"/>
    <w:rsid w:val="005D6953"/>
    <w:rsid w:val="005E1C65"/>
    <w:rsid w:val="005E2FE6"/>
    <w:rsid w:val="005E3771"/>
    <w:rsid w:val="005E37A0"/>
    <w:rsid w:val="005E3FE3"/>
    <w:rsid w:val="005E4104"/>
    <w:rsid w:val="005E451C"/>
    <w:rsid w:val="005E4CF2"/>
    <w:rsid w:val="005E5520"/>
    <w:rsid w:val="005E5EC1"/>
    <w:rsid w:val="005E64CD"/>
    <w:rsid w:val="005E6F7E"/>
    <w:rsid w:val="005F0D33"/>
    <w:rsid w:val="005F1A09"/>
    <w:rsid w:val="005F2033"/>
    <w:rsid w:val="005F2D52"/>
    <w:rsid w:val="005F4F0F"/>
    <w:rsid w:val="005F521D"/>
    <w:rsid w:val="005F5959"/>
    <w:rsid w:val="005F6882"/>
    <w:rsid w:val="005F78ED"/>
    <w:rsid w:val="006004C4"/>
    <w:rsid w:val="00600905"/>
    <w:rsid w:val="006016C8"/>
    <w:rsid w:val="00602CC3"/>
    <w:rsid w:val="00602E7A"/>
    <w:rsid w:val="006033CE"/>
    <w:rsid w:val="00603F2D"/>
    <w:rsid w:val="00604197"/>
    <w:rsid w:val="0060422D"/>
    <w:rsid w:val="006044D7"/>
    <w:rsid w:val="00604A41"/>
    <w:rsid w:val="00606AA7"/>
    <w:rsid w:val="00606C48"/>
    <w:rsid w:val="006100AF"/>
    <w:rsid w:val="00612026"/>
    <w:rsid w:val="0061263A"/>
    <w:rsid w:val="00612DE9"/>
    <w:rsid w:val="00613840"/>
    <w:rsid w:val="006142A2"/>
    <w:rsid w:val="006145C4"/>
    <w:rsid w:val="00616B42"/>
    <w:rsid w:val="00617EE9"/>
    <w:rsid w:val="0062010F"/>
    <w:rsid w:val="00620166"/>
    <w:rsid w:val="006208A9"/>
    <w:rsid w:val="00620993"/>
    <w:rsid w:val="00620FE1"/>
    <w:rsid w:val="006221EC"/>
    <w:rsid w:val="006221FD"/>
    <w:rsid w:val="00622527"/>
    <w:rsid w:val="006226AE"/>
    <w:rsid w:val="00622A80"/>
    <w:rsid w:val="00622BFE"/>
    <w:rsid w:val="0062348D"/>
    <w:rsid w:val="006237F6"/>
    <w:rsid w:val="0062386B"/>
    <w:rsid w:val="00623E0A"/>
    <w:rsid w:val="0062409F"/>
    <w:rsid w:val="006254CD"/>
    <w:rsid w:val="00626CEB"/>
    <w:rsid w:val="00626F59"/>
    <w:rsid w:val="00627EFF"/>
    <w:rsid w:val="0063012A"/>
    <w:rsid w:val="00630323"/>
    <w:rsid w:val="00630AED"/>
    <w:rsid w:val="006334D3"/>
    <w:rsid w:val="00633BBD"/>
    <w:rsid w:val="00633D9E"/>
    <w:rsid w:val="00635337"/>
    <w:rsid w:val="00635979"/>
    <w:rsid w:val="00635E97"/>
    <w:rsid w:val="00636695"/>
    <w:rsid w:val="00636875"/>
    <w:rsid w:val="00636BAE"/>
    <w:rsid w:val="00637F6F"/>
    <w:rsid w:val="006401DC"/>
    <w:rsid w:val="006403CF"/>
    <w:rsid w:val="006412F6"/>
    <w:rsid w:val="0064360B"/>
    <w:rsid w:val="00643ED0"/>
    <w:rsid w:val="00644032"/>
    <w:rsid w:val="00644132"/>
    <w:rsid w:val="00644260"/>
    <w:rsid w:val="00644A33"/>
    <w:rsid w:val="00644D68"/>
    <w:rsid w:val="00645C09"/>
    <w:rsid w:val="0064604D"/>
    <w:rsid w:val="0064659E"/>
    <w:rsid w:val="00646B47"/>
    <w:rsid w:val="00646DAC"/>
    <w:rsid w:val="00646E03"/>
    <w:rsid w:val="006473CB"/>
    <w:rsid w:val="00647595"/>
    <w:rsid w:val="006479E7"/>
    <w:rsid w:val="00651C23"/>
    <w:rsid w:val="0065388C"/>
    <w:rsid w:val="006550A2"/>
    <w:rsid w:val="00655285"/>
    <w:rsid w:val="006554E1"/>
    <w:rsid w:val="006555B4"/>
    <w:rsid w:val="00655F8F"/>
    <w:rsid w:val="006562D8"/>
    <w:rsid w:val="0065678F"/>
    <w:rsid w:val="00657478"/>
    <w:rsid w:val="00660D88"/>
    <w:rsid w:val="00663501"/>
    <w:rsid w:val="00663C2D"/>
    <w:rsid w:val="00663D1B"/>
    <w:rsid w:val="0066616E"/>
    <w:rsid w:val="0066706A"/>
    <w:rsid w:val="00667E07"/>
    <w:rsid w:val="00670258"/>
    <w:rsid w:val="0067186F"/>
    <w:rsid w:val="006725AB"/>
    <w:rsid w:val="00672994"/>
    <w:rsid w:val="0067301F"/>
    <w:rsid w:val="006736BB"/>
    <w:rsid w:val="00673891"/>
    <w:rsid w:val="00674014"/>
    <w:rsid w:val="00674B70"/>
    <w:rsid w:val="00674C49"/>
    <w:rsid w:val="00675060"/>
    <w:rsid w:val="0067575B"/>
    <w:rsid w:val="00676114"/>
    <w:rsid w:val="006817EC"/>
    <w:rsid w:val="00682012"/>
    <w:rsid w:val="006822D6"/>
    <w:rsid w:val="0068464D"/>
    <w:rsid w:val="00684EF5"/>
    <w:rsid w:val="00685D17"/>
    <w:rsid w:val="0068655E"/>
    <w:rsid w:val="00686F37"/>
    <w:rsid w:val="00690374"/>
    <w:rsid w:val="00690827"/>
    <w:rsid w:val="00690E11"/>
    <w:rsid w:val="00691DF9"/>
    <w:rsid w:val="00692DF1"/>
    <w:rsid w:val="00693072"/>
    <w:rsid w:val="00693869"/>
    <w:rsid w:val="00693CA3"/>
    <w:rsid w:val="00694A3B"/>
    <w:rsid w:val="00694EC5"/>
    <w:rsid w:val="00695A89"/>
    <w:rsid w:val="00695AFE"/>
    <w:rsid w:val="00696B1A"/>
    <w:rsid w:val="006A114C"/>
    <w:rsid w:val="006A2D2A"/>
    <w:rsid w:val="006A3CB8"/>
    <w:rsid w:val="006A48D9"/>
    <w:rsid w:val="006A4ED7"/>
    <w:rsid w:val="006A53A1"/>
    <w:rsid w:val="006A542E"/>
    <w:rsid w:val="006A54C3"/>
    <w:rsid w:val="006A5750"/>
    <w:rsid w:val="006A5CF9"/>
    <w:rsid w:val="006B1114"/>
    <w:rsid w:val="006B3B99"/>
    <w:rsid w:val="006B4243"/>
    <w:rsid w:val="006B47E8"/>
    <w:rsid w:val="006B4A67"/>
    <w:rsid w:val="006B5EF5"/>
    <w:rsid w:val="006B6AC4"/>
    <w:rsid w:val="006B7507"/>
    <w:rsid w:val="006B790B"/>
    <w:rsid w:val="006C0603"/>
    <w:rsid w:val="006C0DF7"/>
    <w:rsid w:val="006C1153"/>
    <w:rsid w:val="006C1392"/>
    <w:rsid w:val="006C1518"/>
    <w:rsid w:val="006C1F6C"/>
    <w:rsid w:val="006C21CA"/>
    <w:rsid w:val="006C2F1A"/>
    <w:rsid w:val="006C3BBE"/>
    <w:rsid w:val="006C71CB"/>
    <w:rsid w:val="006C77F0"/>
    <w:rsid w:val="006D08AB"/>
    <w:rsid w:val="006D2307"/>
    <w:rsid w:val="006D2358"/>
    <w:rsid w:val="006D2CBB"/>
    <w:rsid w:val="006D3E1C"/>
    <w:rsid w:val="006D3E80"/>
    <w:rsid w:val="006D5B0A"/>
    <w:rsid w:val="006D6165"/>
    <w:rsid w:val="006D65E0"/>
    <w:rsid w:val="006E1041"/>
    <w:rsid w:val="006E18E5"/>
    <w:rsid w:val="006E2B67"/>
    <w:rsid w:val="006E2D63"/>
    <w:rsid w:val="006E3A9F"/>
    <w:rsid w:val="006E4DEA"/>
    <w:rsid w:val="006E5022"/>
    <w:rsid w:val="006E662B"/>
    <w:rsid w:val="006E6964"/>
    <w:rsid w:val="006E6A2F"/>
    <w:rsid w:val="006F0EBC"/>
    <w:rsid w:val="006F1A22"/>
    <w:rsid w:val="006F28FA"/>
    <w:rsid w:val="006F2BDD"/>
    <w:rsid w:val="006F3781"/>
    <w:rsid w:val="006F390F"/>
    <w:rsid w:val="006F44A8"/>
    <w:rsid w:val="006F6850"/>
    <w:rsid w:val="006F6FA6"/>
    <w:rsid w:val="006F7236"/>
    <w:rsid w:val="006F7875"/>
    <w:rsid w:val="007001F0"/>
    <w:rsid w:val="00700737"/>
    <w:rsid w:val="0070089B"/>
    <w:rsid w:val="00701363"/>
    <w:rsid w:val="00702482"/>
    <w:rsid w:val="0070253D"/>
    <w:rsid w:val="00703609"/>
    <w:rsid w:val="007041EB"/>
    <w:rsid w:val="00704D9C"/>
    <w:rsid w:val="0070518A"/>
    <w:rsid w:val="00705567"/>
    <w:rsid w:val="00706451"/>
    <w:rsid w:val="00707228"/>
    <w:rsid w:val="00713138"/>
    <w:rsid w:val="007136A2"/>
    <w:rsid w:val="0071374B"/>
    <w:rsid w:val="0071431F"/>
    <w:rsid w:val="007148E5"/>
    <w:rsid w:val="007160B6"/>
    <w:rsid w:val="007167B3"/>
    <w:rsid w:val="007202F1"/>
    <w:rsid w:val="007204AC"/>
    <w:rsid w:val="00720753"/>
    <w:rsid w:val="00720B25"/>
    <w:rsid w:val="007219D8"/>
    <w:rsid w:val="00722276"/>
    <w:rsid w:val="007256E2"/>
    <w:rsid w:val="00725B7E"/>
    <w:rsid w:val="00726F2D"/>
    <w:rsid w:val="00727EED"/>
    <w:rsid w:val="007302FE"/>
    <w:rsid w:val="007305E6"/>
    <w:rsid w:val="007306F4"/>
    <w:rsid w:val="00730871"/>
    <w:rsid w:val="00730AAA"/>
    <w:rsid w:val="00731073"/>
    <w:rsid w:val="00731736"/>
    <w:rsid w:val="00731976"/>
    <w:rsid w:val="00732FFE"/>
    <w:rsid w:val="0073304C"/>
    <w:rsid w:val="00733640"/>
    <w:rsid w:val="00734095"/>
    <w:rsid w:val="0073419B"/>
    <w:rsid w:val="00734AD1"/>
    <w:rsid w:val="00735573"/>
    <w:rsid w:val="007359A3"/>
    <w:rsid w:val="007359A5"/>
    <w:rsid w:val="00736013"/>
    <w:rsid w:val="00736155"/>
    <w:rsid w:val="00736BD9"/>
    <w:rsid w:val="00737748"/>
    <w:rsid w:val="00737CAC"/>
    <w:rsid w:val="00737D7F"/>
    <w:rsid w:val="00741623"/>
    <w:rsid w:val="00741EAF"/>
    <w:rsid w:val="007425EC"/>
    <w:rsid w:val="00742C3C"/>
    <w:rsid w:val="007432B3"/>
    <w:rsid w:val="00744A20"/>
    <w:rsid w:val="00744D75"/>
    <w:rsid w:val="00747B26"/>
    <w:rsid w:val="007508CF"/>
    <w:rsid w:val="00750FE0"/>
    <w:rsid w:val="00751656"/>
    <w:rsid w:val="00751FDC"/>
    <w:rsid w:val="00752061"/>
    <w:rsid w:val="00753CFE"/>
    <w:rsid w:val="00754E7C"/>
    <w:rsid w:val="00754F76"/>
    <w:rsid w:val="0075536E"/>
    <w:rsid w:val="007555AF"/>
    <w:rsid w:val="0075691F"/>
    <w:rsid w:val="00756C37"/>
    <w:rsid w:val="00757010"/>
    <w:rsid w:val="007573A6"/>
    <w:rsid w:val="00757A87"/>
    <w:rsid w:val="007605C4"/>
    <w:rsid w:val="00761619"/>
    <w:rsid w:val="00761DB5"/>
    <w:rsid w:val="00761F16"/>
    <w:rsid w:val="00763968"/>
    <w:rsid w:val="00764692"/>
    <w:rsid w:val="00764C7F"/>
    <w:rsid w:val="00765102"/>
    <w:rsid w:val="007655A9"/>
    <w:rsid w:val="0076574B"/>
    <w:rsid w:val="00765A63"/>
    <w:rsid w:val="0076643D"/>
    <w:rsid w:val="00766A26"/>
    <w:rsid w:val="00766FF2"/>
    <w:rsid w:val="007714CA"/>
    <w:rsid w:val="00771F80"/>
    <w:rsid w:val="007727FC"/>
    <w:rsid w:val="00772874"/>
    <w:rsid w:val="007738ED"/>
    <w:rsid w:val="00773FD8"/>
    <w:rsid w:val="00774847"/>
    <w:rsid w:val="007753CB"/>
    <w:rsid w:val="00775712"/>
    <w:rsid w:val="0077603E"/>
    <w:rsid w:val="00777F3C"/>
    <w:rsid w:val="0078020E"/>
    <w:rsid w:val="0078184D"/>
    <w:rsid w:val="00781BC2"/>
    <w:rsid w:val="00782F59"/>
    <w:rsid w:val="0078333E"/>
    <w:rsid w:val="007835EC"/>
    <w:rsid w:val="00783701"/>
    <w:rsid w:val="007839B2"/>
    <w:rsid w:val="00784277"/>
    <w:rsid w:val="00785C91"/>
    <w:rsid w:val="00786CC1"/>
    <w:rsid w:val="007878D2"/>
    <w:rsid w:val="00790272"/>
    <w:rsid w:val="007910AD"/>
    <w:rsid w:val="0079275C"/>
    <w:rsid w:val="00792769"/>
    <w:rsid w:val="0079314B"/>
    <w:rsid w:val="0079347D"/>
    <w:rsid w:val="0079394F"/>
    <w:rsid w:val="00794BFD"/>
    <w:rsid w:val="0079514E"/>
    <w:rsid w:val="0079561D"/>
    <w:rsid w:val="00795D5C"/>
    <w:rsid w:val="00795FF9"/>
    <w:rsid w:val="00797482"/>
    <w:rsid w:val="007A0462"/>
    <w:rsid w:val="007A04E2"/>
    <w:rsid w:val="007A05F8"/>
    <w:rsid w:val="007A1640"/>
    <w:rsid w:val="007A224D"/>
    <w:rsid w:val="007A2476"/>
    <w:rsid w:val="007A271D"/>
    <w:rsid w:val="007A345A"/>
    <w:rsid w:val="007A3829"/>
    <w:rsid w:val="007A3BEF"/>
    <w:rsid w:val="007A48D1"/>
    <w:rsid w:val="007A4FED"/>
    <w:rsid w:val="007A54F9"/>
    <w:rsid w:val="007A55D0"/>
    <w:rsid w:val="007A5F01"/>
    <w:rsid w:val="007A5F7E"/>
    <w:rsid w:val="007A6FEF"/>
    <w:rsid w:val="007A7D40"/>
    <w:rsid w:val="007B1659"/>
    <w:rsid w:val="007B3475"/>
    <w:rsid w:val="007B3714"/>
    <w:rsid w:val="007B3E5D"/>
    <w:rsid w:val="007B416F"/>
    <w:rsid w:val="007B4F09"/>
    <w:rsid w:val="007B5770"/>
    <w:rsid w:val="007B5A03"/>
    <w:rsid w:val="007B5CAD"/>
    <w:rsid w:val="007B65FF"/>
    <w:rsid w:val="007B6F58"/>
    <w:rsid w:val="007B7C18"/>
    <w:rsid w:val="007C08F7"/>
    <w:rsid w:val="007C0D5F"/>
    <w:rsid w:val="007C17E9"/>
    <w:rsid w:val="007C2E3D"/>
    <w:rsid w:val="007C30FE"/>
    <w:rsid w:val="007C38EA"/>
    <w:rsid w:val="007C4308"/>
    <w:rsid w:val="007C470F"/>
    <w:rsid w:val="007C500F"/>
    <w:rsid w:val="007C5777"/>
    <w:rsid w:val="007C5A2E"/>
    <w:rsid w:val="007C7705"/>
    <w:rsid w:val="007C7A9D"/>
    <w:rsid w:val="007D0657"/>
    <w:rsid w:val="007D15DA"/>
    <w:rsid w:val="007D1DF9"/>
    <w:rsid w:val="007D508D"/>
    <w:rsid w:val="007D527D"/>
    <w:rsid w:val="007D52BD"/>
    <w:rsid w:val="007D5AB4"/>
    <w:rsid w:val="007D5C35"/>
    <w:rsid w:val="007D5FBE"/>
    <w:rsid w:val="007D6F50"/>
    <w:rsid w:val="007E0CB5"/>
    <w:rsid w:val="007E1655"/>
    <w:rsid w:val="007E1734"/>
    <w:rsid w:val="007E183B"/>
    <w:rsid w:val="007E191B"/>
    <w:rsid w:val="007E1A4E"/>
    <w:rsid w:val="007E1A9D"/>
    <w:rsid w:val="007E1F8B"/>
    <w:rsid w:val="007E3BC4"/>
    <w:rsid w:val="007E3BCE"/>
    <w:rsid w:val="007E45A3"/>
    <w:rsid w:val="007E64B1"/>
    <w:rsid w:val="007E6693"/>
    <w:rsid w:val="007E73DE"/>
    <w:rsid w:val="007E7439"/>
    <w:rsid w:val="007F032B"/>
    <w:rsid w:val="007F063C"/>
    <w:rsid w:val="007F13A4"/>
    <w:rsid w:val="007F2373"/>
    <w:rsid w:val="007F264F"/>
    <w:rsid w:val="007F2DA9"/>
    <w:rsid w:val="007F418A"/>
    <w:rsid w:val="007F50F8"/>
    <w:rsid w:val="007F5596"/>
    <w:rsid w:val="007F5AE7"/>
    <w:rsid w:val="007F6967"/>
    <w:rsid w:val="00800454"/>
    <w:rsid w:val="008009C7"/>
    <w:rsid w:val="00800A2C"/>
    <w:rsid w:val="00800B65"/>
    <w:rsid w:val="00800FE3"/>
    <w:rsid w:val="008011E9"/>
    <w:rsid w:val="00803F4D"/>
    <w:rsid w:val="008048A1"/>
    <w:rsid w:val="00804E9B"/>
    <w:rsid w:val="00805A48"/>
    <w:rsid w:val="008068DB"/>
    <w:rsid w:val="008077E0"/>
    <w:rsid w:val="00807CAA"/>
    <w:rsid w:val="00810AAA"/>
    <w:rsid w:val="0081157B"/>
    <w:rsid w:val="008119CD"/>
    <w:rsid w:val="0081250D"/>
    <w:rsid w:val="008135C5"/>
    <w:rsid w:val="00813C78"/>
    <w:rsid w:val="00813EF8"/>
    <w:rsid w:val="008143D3"/>
    <w:rsid w:val="00815604"/>
    <w:rsid w:val="0081637B"/>
    <w:rsid w:val="00817380"/>
    <w:rsid w:val="00817B3F"/>
    <w:rsid w:val="00817FD7"/>
    <w:rsid w:val="008216FE"/>
    <w:rsid w:val="00821CD0"/>
    <w:rsid w:val="00822892"/>
    <w:rsid w:val="0082308F"/>
    <w:rsid w:val="008232B2"/>
    <w:rsid w:val="008239E0"/>
    <w:rsid w:val="00823C73"/>
    <w:rsid w:val="00824AE7"/>
    <w:rsid w:val="00825205"/>
    <w:rsid w:val="00825FFD"/>
    <w:rsid w:val="0082697C"/>
    <w:rsid w:val="008278D5"/>
    <w:rsid w:val="00827C6A"/>
    <w:rsid w:val="0083039A"/>
    <w:rsid w:val="008312A2"/>
    <w:rsid w:val="008324EB"/>
    <w:rsid w:val="00833782"/>
    <w:rsid w:val="0083463A"/>
    <w:rsid w:val="0083470B"/>
    <w:rsid w:val="00834898"/>
    <w:rsid w:val="00835648"/>
    <w:rsid w:val="00836EA7"/>
    <w:rsid w:val="008373A2"/>
    <w:rsid w:val="008379EE"/>
    <w:rsid w:val="008405B7"/>
    <w:rsid w:val="00841563"/>
    <w:rsid w:val="00842A5B"/>
    <w:rsid w:val="0084365B"/>
    <w:rsid w:val="00844D71"/>
    <w:rsid w:val="00844FBC"/>
    <w:rsid w:val="008457F7"/>
    <w:rsid w:val="00845B50"/>
    <w:rsid w:val="008470EE"/>
    <w:rsid w:val="00847651"/>
    <w:rsid w:val="0085000D"/>
    <w:rsid w:val="008507AC"/>
    <w:rsid w:val="008517B8"/>
    <w:rsid w:val="0085182F"/>
    <w:rsid w:val="008519B6"/>
    <w:rsid w:val="008529B0"/>
    <w:rsid w:val="008547D6"/>
    <w:rsid w:val="00854BC7"/>
    <w:rsid w:val="00855D7A"/>
    <w:rsid w:val="00855ED9"/>
    <w:rsid w:val="00856E70"/>
    <w:rsid w:val="00861401"/>
    <w:rsid w:val="00862553"/>
    <w:rsid w:val="00863F5C"/>
    <w:rsid w:val="00864321"/>
    <w:rsid w:val="008647EE"/>
    <w:rsid w:val="00865135"/>
    <w:rsid w:val="00865149"/>
    <w:rsid w:val="008654D5"/>
    <w:rsid w:val="00865712"/>
    <w:rsid w:val="008658C0"/>
    <w:rsid w:val="00865C30"/>
    <w:rsid w:val="00865C94"/>
    <w:rsid w:val="008664F3"/>
    <w:rsid w:val="00866B50"/>
    <w:rsid w:val="008701A1"/>
    <w:rsid w:val="008702D5"/>
    <w:rsid w:val="00870B7E"/>
    <w:rsid w:val="00871810"/>
    <w:rsid w:val="00871B8E"/>
    <w:rsid w:val="00872C57"/>
    <w:rsid w:val="00872CDF"/>
    <w:rsid w:val="00873371"/>
    <w:rsid w:val="00873654"/>
    <w:rsid w:val="008741DC"/>
    <w:rsid w:val="008746AF"/>
    <w:rsid w:val="00875DBA"/>
    <w:rsid w:val="00876AD1"/>
    <w:rsid w:val="008774D7"/>
    <w:rsid w:val="0087750A"/>
    <w:rsid w:val="00877B41"/>
    <w:rsid w:val="00882050"/>
    <w:rsid w:val="008837A3"/>
    <w:rsid w:val="00884C4D"/>
    <w:rsid w:val="0088547C"/>
    <w:rsid w:val="0088609B"/>
    <w:rsid w:val="00886ECA"/>
    <w:rsid w:val="00887513"/>
    <w:rsid w:val="0088781A"/>
    <w:rsid w:val="0089001D"/>
    <w:rsid w:val="0089017C"/>
    <w:rsid w:val="0089068C"/>
    <w:rsid w:val="00890745"/>
    <w:rsid w:val="00891FE7"/>
    <w:rsid w:val="00893458"/>
    <w:rsid w:val="00894582"/>
    <w:rsid w:val="00894832"/>
    <w:rsid w:val="0089515F"/>
    <w:rsid w:val="008951BA"/>
    <w:rsid w:val="008957F3"/>
    <w:rsid w:val="00895BE9"/>
    <w:rsid w:val="00895CE2"/>
    <w:rsid w:val="00895EEC"/>
    <w:rsid w:val="008966BD"/>
    <w:rsid w:val="0089696B"/>
    <w:rsid w:val="008975E3"/>
    <w:rsid w:val="008A1DCD"/>
    <w:rsid w:val="008A2598"/>
    <w:rsid w:val="008A2A79"/>
    <w:rsid w:val="008A3CBB"/>
    <w:rsid w:val="008A518D"/>
    <w:rsid w:val="008A5518"/>
    <w:rsid w:val="008A55EE"/>
    <w:rsid w:val="008A59DE"/>
    <w:rsid w:val="008A6CA4"/>
    <w:rsid w:val="008A70E6"/>
    <w:rsid w:val="008A7767"/>
    <w:rsid w:val="008B1C07"/>
    <w:rsid w:val="008B4F9D"/>
    <w:rsid w:val="008B58E6"/>
    <w:rsid w:val="008B5CD6"/>
    <w:rsid w:val="008B5E56"/>
    <w:rsid w:val="008B6AD7"/>
    <w:rsid w:val="008B6F7B"/>
    <w:rsid w:val="008C19EB"/>
    <w:rsid w:val="008C1FF4"/>
    <w:rsid w:val="008C20A3"/>
    <w:rsid w:val="008C25FF"/>
    <w:rsid w:val="008C3CF6"/>
    <w:rsid w:val="008C5854"/>
    <w:rsid w:val="008C68FE"/>
    <w:rsid w:val="008C69A7"/>
    <w:rsid w:val="008C70D7"/>
    <w:rsid w:val="008C7155"/>
    <w:rsid w:val="008D0866"/>
    <w:rsid w:val="008D2765"/>
    <w:rsid w:val="008D3E04"/>
    <w:rsid w:val="008D466E"/>
    <w:rsid w:val="008D4D4C"/>
    <w:rsid w:val="008D4E13"/>
    <w:rsid w:val="008D6215"/>
    <w:rsid w:val="008D6A02"/>
    <w:rsid w:val="008D6CEB"/>
    <w:rsid w:val="008D712F"/>
    <w:rsid w:val="008D7D76"/>
    <w:rsid w:val="008E0245"/>
    <w:rsid w:val="008E065E"/>
    <w:rsid w:val="008E17E0"/>
    <w:rsid w:val="008E1EED"/>
    <w:rsid w:val="008E365C"/>
    <w:rsid w:val="008E6251"/>
    <w:rsid w:val="008E670D"/>
    <w:rsid w:val="008F0D0A"/>
    <w:rsid w:val="008F1545"/>
    <w:rsid w:val="008F2056"/>
    <w:rsid w:val="008F2600"/>
    <w:rsid w:val="008F2F2B"/>
    <w:rsid w:val="008F337C"/>
    <w:rsid w:val="008F3D14"/>
    <w:rsid w:val="008F45C3"/>
    <w:rsid w:val="008F4B6E"/>
    <w:rsid w:val="008F528B"/>
    <w:rsid w:val="008F5CA3"/>
    <w:rsid w:val="008F5CB7"/>
    <w:rsid w:val="008F6161"/>
    <w:rsid w:val="008F6165"/>
    <w:rsid w:val="008F6693"/>
    <w:rsid w:val="008F688C"/>
    <w:rsid w:val="008F74E2"/>
    <w:rsid w:val="008F7AAA"/>
    <w:rsid w:val="009031BD"/>
    <w:rsid w:val="00904B95"/>
    <w:rsid w:val="009061E3"/>
    <w:rsid w:val="00906E8E"/>
    <w:rsid w:val="00911160"/>
    <w:rsid w:val="00911642"/>
    <w:rsid w:val="00913B60"/>
    <w:rsid w:val="00913E62"/>
    <w:rsid w:val="00915F67"/>
    <w:rsid w:val="00916A4F"/>
    <w:rsid w:val="00917810"/>
    <w:rsid w:val="00917C44"/>
    <w:rsid w:val="0092075B"/>
    <w:rsid w:val="00920E76"/>
    <w:rsid w:val="00921142"/>
    <w:rsid w:val="0092288E"/>
    <w:rsid w:val="00922C3E"/>
    <w:rsid w:val="00922DED"/>
    <w:rsid w:val="00923E0B"/>
    <w:rsid w:val="00923F39"/>
    <w:rsid w:val="0092496E"/>
    <w:rsid w:val="00925AB6"/>
    <w:rsid w:val="00926485"/>
    <w:rsid w:val="009275C6"/>
    <w:rsid w:val="00927695"/>
    <w:rsid w:val="00927783"/>
    <w:rsid w:val="00930422"/>
    <w:rsid w:val="00930543"/>
    <w:rsid w:val="009308F5"/>
    <w:rsid w:val="00930DE4"/>
    <w:rsid w:val="00931419"/>
    <w:rsid w:val="009320BC"/>
    <w:rsid w:val="00933161"/>
    <w:rsid w:val="0093368B"/>
    <w:rsid w:val="00934C1C"/>
    <w:rsid w:val="009351D6"/>
    <w:rsid w:val="00935ACF"/>
    <w:rsid w:val="009368CC"/>
    <w:rsid w:val="0094093D"/>
    <w:rsid w:val="00941DD3"/>
    <w:rsid w:val="009425AE"/>
    <w:rsid w:val="009425B0"/>
    <w:rsid w:val="009427AB"/>
    <w:rsid w:val="00942E0C"/>
    <w:rsid w:val="00942E3B"/>
    <w:rsid w:val="00942FAC"/>
    <w:rsid w:val="009457C7"/>
    <w:rsid w:val="009458C1"/>
    <w:rsid w:val="00946776"/>
    <w:rsid w:val="00946A7F"/>
    <w:rsid w:val="00947197"/>
    <w:rsid w:val="009471D8"/>
    <w:rsid w:val="00947B4D"/>
    <w:rsid w:val="00950497"/>
    <w:rsid w:val="009506BF"/>
    <w:rsid w:val="0095234A"/>
    <w:rsid w:val="00952EAD"/>
    <w:rsid w:val="00953B36"/>
    <w:rsid w:val="00954AF6"/>
    <w:rsid w:val="00954D02"/>
    <w:rsid w:val="00954F7E"/>
    <w:rsid w:val="00955B9C"/>
    <w:rsid w:val="00956159"/>
    <w:rsid w:val="00957013"/>
    <w:rsid w:val="009615CC"/>
    <w:rsid w:val="0096160A"/>
    <w:rsid w:val="009618BD"/>
    <w:rsid w:val="00962667"/>
    <w:rsid w:val="009628FD"/>
    <w:rsid w:val="009676F8"/>
    <w:rsid w:val="00967B15"/>
    <w:rsid w:val="009723FE"/>
    <w:rsid w:val="0097361E"/>
    <w:rsid w:val="00973AB5"/>
    <w:rsid w:val="00975C38"/>
    <w:rsid w:val="009761E8"/>
    <w:rsid w:val="00976A5E"/>
    <w:rsid w:val="009773E4"/>
    <w:rsid w:val="00977BE7"/>
    <w:rsid w:val="00977C27"/>
    <w:rsid w:val="00982FFF"/>
    <w:rsid w:val="0098408F"/>
    <w:rsid w:val="009844D4"/>
    <w:rsid w:val="00984B97"/>
    <w:rsid w:val="00984FDC"/>
    <w:rsid w:val="00985E89"/>
    <w:rsid w:val="00986163"/>
    <w:rsid w:val="00986419"/>
    <w:rsid w:val="009866F1"/>
    <w:rsid w:val="0099064A"/>
    <w:rsid w:val="00991984"/>
    <w:rsid w:val="00993862"/>
    <w:rsid w:val="009949C4"/>
    <w:rsid w:val="00994F78"/>
    <w:rsid w:val="009951F4"/>
    <w:rsid w:val="00995588"/>
    <w:rsid w:val="0099596A"/>
    <w:rsid w:val="0099623E"/>
    <w:rsid w:val="00996AFF"/>
    <w:rsid w:val="00996F02"/>
    <w:rsid w:val="009A0080"/>
    <w:rsid w:val="009A14BE"/>
    <w:rsid w:val="009A1526"/>
    <w:rsid w:val="009A1A7B"/>
    <w:rsid w:val="009A21CB"/>
    <w:rsid w:val="009A3B71"/>
    <w:rsid w:val="009A4C2F"/>
    <w:rsid w:val="009A58DF"/>
    <w:rsid w:val="009A6B53"/>
    <w:rsid w:val="009A6BB0"/>
    <w:rsid w:val="009B04D7"/>
    <w:rsid w:val="009B104E"/>
    <w:rsid w:val="009B1A48"/>
    <w:rsid w:val="009B1E4C"/>
    <w:rsid w:val="009B24FC"/>
    <w:rsid w:val="009B2B51"/>
    <w:rsid w:val="009B2E49"/>
    <w:rsid w:val="009B33C8"/>
    <w:rsid w:val="009B3541"/>
    <w:rsid w:val="009B621D"/>
    <w:rsid w:val="009B6512"/>
    <w:rsid w:val="009B7105"/>
    <w:rsid w:val="009B75B9"/>
    <w:rsid w:val="009C0C39"/>
    <w:rsid w:val="009C1C4E"/>
    <w:rsid w:val="009C20DA"/>
    <w:rsid w:val="009C2B77"/>
    <w:rsid w:val="009C315C"/>
    <w:rsid w:val="009C4C62"/>
    <w:rsid w:val="009C4D83"/>
    <w:rsid w:val="009C4E15"/>
    <w:rsid w:val="009C53DC"/>
    <w:rsid w:val="009C5648"/>
    <w:rsid w:val="009C5A16"/>
    <w:rsid w:val="009C5DB1"/>
    <w:rsid w:val="009C679D"/>
    <w:rsid w:val="009D039C"/>
    <w:rsid w:val="009D08A7"/>
    <w:rsid w:val="009D101E"/>
    <w:rsid w:val="009D2698"/>
    <w:rsid w:val="009D3122"/>
    <w:rsid w:val="009D34FD"/>
    <w:rsid w:val="009D3B1A"/>
    <w:rsid w:val="009D3DD7"/>
    <w:rsid w:val="009D3F5F"/>
    <w:rsid w:val="009D4B56"/>
    <w:rsid w:val="009D55C6"/>
    <w:rsid w:val="009D672E"/>
    <w:rsid w:val="009D6D72"/>
    <w:rsid w:val="009D6D79"/>
    <w:rsid w:val="009E0426"/>
    <w:rsid w:val="009E0926"/>
    <w:rsid w:val="009E09B5"/>
    <w:rsid w:val="009E1C54"/>
    <w:rsid w:val="009E1FA1"/>
    <w:rsid w:val="009E34D3"/>
    <w:rsid w:val="009E38D5"/>
    <w:rsid w:val="009E470B"/>
    <w:rsid w:val="009E4A74"/>
    <w:rsid w:val="009E5155"/>
    <w:rsid w:val="009E5419"/>
    <w:rsid w:val="009E619C"/>
    <w:rsid w:val="009E738F"/>
    <w:rsid w:val="009E75F3"/>
    <w:rsid w:val="009E77A1"/>
    <w:rsid w:val="009E7AD4"/>
    <w:rsid w:val="009F00B4"/>
    <w:rsid w:val="009F0630"/>
    <w:rsid w:val="009F08B6"/>
    <w:rsid w:val="009F1D7E"/>
    <w:rsid w:val="009F2506"/>
    <w:rsid w:val="009F36E6"/>
    <w:rsid w:val="009F3D56"/>
    <w:rsid w:val="009F453E"/>
    <w:rsid w:val="009F506D"/>
    <w:rsid w:val="009F5906"/>
    <w:rsid w:val="009F5CC4"/>
    <w:rsid w:val="009F60FF"/>
    <w:rsid w:val="009F764A"/>
    <w:rsid w:val="009F7A99"/>
    <w:rsid w:val="00A009F7"/>
    <w:rsid w:val="00A00BAF"/>
    <w:rsid w:val="00A019D6"/>
    <w:rsid w:val="00A0254F"/>
    <w:rsid w:val="00A03929"/>
    <w:rsid w:val="00A03EC4"/>
    <w:rsid w:val="00A04196"/>
    <w:rsid w:val="00A045FC"/>
    <w:rsid w:val="00A053CE"/>
    <w:rsid w:val="00A05C32"/>
    <w:rsid w:val="00A1183B"/>
    <w:rsid w:val="00A1213C"/>
    <w:rsid w:val="00A127EF"/>
    <w:rsid w:val="00A12CCA"/>
    <w:rsid w:val="00A132ED"/>
    <w:rsid w:val="00A133DF"/>
    <w:rsid w:val="00A1377A"/>
    <w:rsid w:val="00A14150"/>
    <w:rsid w:val="00A141B5"/>
    <w:rsid w:val="00A15641"/>
    <w:rsid w:val="00A161A7"/>
    <w:rsid w:val="00A161E1"/>
    <w:rsid w:val="00A1627B"/>
    <w:rsid w:val="00A16B6A"/>
    <w:rsid w:val="00A16FEF"/>
    <w:rsid w:val="00A2024A"/>
    <w:rsid w:val="00A21A2E"/>
    <w:rsid w:val="00A22A67"/>
    <w:rsid w:val="00A22E06"/>
    <w:rsid w:val="00A23680"/>
    <w:rsid w:val="00A23ECE"/>
    <w:rsid w:val="00A25B7F"/>
    <w:rsid w:val="00A25BFB"/>
    <w:rsid w:val="00A25F86"/>
    <w:rsid w:val="00A26FF9"/>
    <w:rsid w:val="00A27057"/>
    <w:rsid w:val="00A27669"/>
    <w:rsid w:val="00A278C7"/>
    <w:rsid w:val="00A27A77"/>
    <w:rsid w:val="00A30378"/>
    <w:rsid w:val="00A306F7"/>
    <w:rsid w:val="00A3106B"/>
    <w:rsid w:val="00A31670"/>
    <w:rsid w:val="00A31D56"/>
    <w:rsid w:val="00A32DD4"/>
    <w:rsid w:val="00A32E85"/>
    <w:rsid w:val="00A3311F"/>
    <w:rsid w:val="00A33896"/>
    <w:rsid w:val="00A34E17"/>
    <w:rsid w:val="00A353BC"/>
    <w:rsid w:val="00A35FA6"/>
    <w:rsid w:val="00A36C0F"/>
    <w:rsid w:val="00A4043F"/>
    <w:rsid w:val="00A411FB"/>
    <w:rsid w:val="00A416B0"/>
    <w:rsid w:val="00A425D0"/>
    <w:rsid w:val="00A42922"/>
    <w:rsid w:val="00A42AD8"/>
    <w:rsid w:val="00A432BE"/>
    <w:rsid w:val="00A43404"/>
    <w:rsid w:val="00A4340C"/>
    <w:rsid w:val="00A43A81"/>
    <w:rsid w:val="00A44093"/>
    <w:rsid w:val="00A44322"/>
    <w:rsid w:val="00A446DB"/>
    <w:rsid w:val="00A4742C"/>
    <w:rsid w:val="00A513A8"/>
    <w:rsid w:val="00A528C0"/>
    <w:rsid w:val="00A52D32"/>
    <w:rsid w:val="00A532B0"/>
    <w:rsid w:val="00A539F5"/>
    <w:rsid w:val="00A53E80"/>
    <w:rsid w:val="00A5479D"/>
    <w:rsid w:val="00A55033"/>
    <w:rsid w:val="00A5523F"/>
    <w:rsid w:val="00A55CD6"/>
    <w:rsid w:val="00A56417"/>
    <w:rsid w:val="00A56DB7"/>
    <w:rsid w:val="00A5712A"/>
    <w:rsid w:val="00A571B6"/>
    <w:rsid w:val="00A57706"/>
    <w:rsid w:val="00A61F25"/>
    <w:rsid w:val="00A62F7B"/>
    <w:rsid w:val="00A63D37"/>
    <w:rsid w:val="00A64B4F"/>
    <w:rsid w:val="00A6599D"/>
    <w:rsid w:val="00A6681F"/>
    <w:rsid w:val="00A66B83"/>
    <w:rsid w:val="00A707D8"/>
    <w:rsid w:val="00A7128F"/>
    <w:rsid w:val="00A71AF0"/>
    <w:rsid w:val="00A74934"/>
    <w:rsid w:val="00A74B26"/>
    <w:rsid w:val="00A74CBF"/>
    <w:rsid w:val="00A74DC2"/>
    <w:rsid w:val="00A755E8"/>
    <w:rsid w:val="00A761ED"/>
    <w:rsid w:val="00A81CC2"/>
    <w:rsid w:val="00A81E79"/>
    <w:rsid w:val="00A82487"/>
    <w:rsid w:val="00A85405"/>
    <w:rsid w:val="00A85EDB"/>
    <w:rsid w:val="00A86BE4"/>
    <w:rsid w:val="00A87087"/>
    <w:rsid w:val="00A878AC"/>
    <w:rsid w:val="00A918E6"/>
    <w:rsid w:val="00A92F3C"/>
    <w:rsid w:val="00A9374B"/>
    <w:rsid w:val="00A94631"/>
    <w:rsid w:val="00A95723"/>
    <w:rsid w:val="00A966AF"/>
    <w:rsid w:val="00A97418"/>
    <w:rsid w:val="00A97CDA"/>
    <w:rsid w:val="00AA094D"/>
    <w:rsid w:val="00AA0F5D"/>
    <w:rsid w:val="00AA15E7"/>
    <w:rsid w:val="00AA16A3"/>
    <w:rsid w:val="00AA1F66"/>
    <w:rsid w:val="00AA2A2F"/>
    <w:rsid w:val="00AA2E02"/>
    <w:rsid w:val="00AA3C5C"/>
    <w:rsid w:val="00AA50F6"/>
    <w:rsid w:val="00AA5460"/>
    <w:rsid w:val="00AA6312"/>
    <w:rsid w:val="00AA6459"/>
    <w:rsid w:val="00AA67E0"/>
    <w:rsid w:val="00AA6DB4"/>
    <w:rsid w:val="00AB0F6A"/>
    <w:rsid w:val="00AB1109"/>
    <w:rsid w:val="00AB1D33"/>
    <w:rsid w:val="00AB2C80"/>
    <w:rsid w:val="00AB2F79"/>
    <w:rsid w:val="00AB412C"/>
    <w:rsid w:val="00AB4863"/>
    <w:rsid w:val="00AB4960"/>
    <w:rsid w:val="00AB4B16"/>
    <w:rsid w:val="00AB5070"/>
    <w:rsid w:val="00AB5EA8"/>
    <w:rsid w:val="00AB763C"/>
    <w:rsid w:val="00AB773D"/>
    <w:rsid w:val="00AB7CBF"/>
    <w:rsid w:val="00AC2822"/>
    <w:rsid w:val="00AC4130"/>
    <w:rsid w:val="00AC5105"/>
    <w:rsid w:val="00AC5863"/>
    <w:rsid w:val="00AC6727"/>
    <w:rsid w:val="00AC6B97"/>
    <w:rsid w:val="00AC6D86"/>
    <w:rsid w:val="00AC71BF"/>
    <w:rsid w:val="00AC7F67"/>
    <w:rsid w:val="00AD566E"/>
    <w:rsid w:val="00AD67C9"/>
    <w:rsid w:val="00AD6A3E"/>
    <w:rsid w:val="00AD6F4A"/>
    <w:rsid w:val="00AD7260"/>
    <w:rsid w:val="00AD77C5"/>
    <w:rsid w:val="00AD7D78"/>
    <w:rsid w:val="00AE0227"/>
    <w:rsid w:val="00AE0464"/>
    <w:rsid w:val="00AE0A5A"/>
    <w:rsid w:val="00AE17B5"/>
    <w:rsid w:val="00AE25F4"/>
    <w:rsid w:val="00AE2CBD"/>
    <w:rsid w:val="00AE342D"/>
    <w:rsid w:val="00AE4E9B"/>
    <w:rsid w:val="00AE5C43"/>
    <w:rsid w:val="00AE731A"/>
    <w:rsid w:val="00AF13A0"/>
    <w:rsid w:val="00AF1D62"/>
    <w:rsid w:val="00AF207B"/>
    <w:rsid w:val="00AF2DA3"/>
    <w:rsid w:val="00AF32A7"/>
    <w:rsid w:val="00AF339D"/>
    <w:rsid w:val="00AF41DE"/>
    <w:rsid w:val="00AF470C"/>
    <w:rsid w:val="00AF570A"/>
    <w:rsid w:val="00AF581F"/>
    <w:rsid w:val="00AF5A30"/>
    <w:rsid w:val="00AF6919"/>
    <w:rsid w:val="00AF73B9"/>
    <w:rsid w:val="00AF7A46"/>
    <w:rsid w:val="00AF7D78"/>
    <w:rsid w:val="00AF7F01"/>
    <w:rsid w:val="00B00C07"/>
    <w:rsid w:val="00B00DAA"/>
    <w:rsid w:val="00B01294"/>
    <w:rsid w:val="00B0157A"/>
    <w:rsid w:val="00B015DF"/>
    <w:rsid w:val="00B01855"/>
    <w:rsid w:val="00B02DD4"/>
    <w:rsid w:val="00B02EE3"/>
    <w:rsid w:val="00B03113"/>
    <w:rsid w:val="00B03F0B"/>
    <w:rsid w:val="00B042AC"/>
    <w:rsid w:val="00B04B3F"/>
    <w:rsid w:val="00B04F6A"/>
    <w:rsid w:val="00B05446"/>
    <w:rsid w:val="00B06DF8"/>
    <w:rsid w:val="00B07B64"/>
    <w:rsid w:val="00B10492"/>
    <w:rsid w:val="00B10585"/>
    <w:rsid w:val="00B10BD8"/>
    <w:rsid w:val="00B1175F"/>
    <w:rsid w:val="00B1182A"/>
    <w:rsid w:val="00B120AE"/>
    <w:rsid w:val="00B12E84"/>
    <w:rsid w:val="00B12F4E"/>
    <w:rsid w:val="00B13436"/>
    <w:rsid w:val="00B140AD"/>
    <w:rsid w:val="00B14494"/>
    <w:rsid w:val="00B144A8"/>
    <w:rsid w:val="00B16C13"/>
    <w:rsid w:val="00B175CB"/>
    <w:rsid w:val="00B17925"/>
    <w:rsid w:val="00B17CEC"/>
    <w:rsid w:val="00B17F1D"/>
    <w:rsid w:val="00B20CAB"/>
    <w:rsid w:val="00B218FB"/>
    <w:rsid w:val="00B2236D"/>
    <w:rsid w:val="00B22748"/>
    <w:rsid w:val="00B248A1"/>
    <w:rsid w:val="00B24AEC"/>
    <w:rsid w:val="00B24FF4"/>
    <w:rsid w:val="00B25281"/>
    <w:rsid w:val="00B2558F"/>
    <w:rsid w:val="00B25ADE"/>
    <w:rsid w:val="00B2683D"/>
    <w:rsid w:val="00B27296"/>
    <w:rsid w:val="00B27386"/>
    <w:rsid w:val="00B27B52"/>
    <w:rsid w:val="00B30301"/>
    <w:rsid w:val="00B3075D"/>
    <w:rsid w:val="00B33ADF"/>
    <w:rsid w:val="00B34F19"/>
    <w:rsid w:val="00B3501B"/>
    <w:rsid w:val="00B351AE"/>
    <w:rsid w:val="00B353EB"/>
    <w:rsid w:val="00B36172"/>
    <w:rsid w:val="00B36950"/>
    <w:rsid w:val="00B4048A"/>
    <w:rsid w:val="00B416A3"/>
    <w:rsid w:val="00B42585"/>
    <w:rsid w:val="00B43CED"/>
    <w:rsid w:val="00B44EB2"/>
    <w:rsid w:val="00B45672"/>
    <w:rsid w:val="00B47509"/>
    <w:rsid w:val="00B47D7A"/>
    <w:rsid w:val="00B525D5"/>
    <w:rsid w:val="00B52A81"/>
    <w:rsid w:val="00B52E56"/>
    <w:rsid w:val="00B55BFB"/>
    <w:rsid w:val="00B5687D"/>
    <w:rsid w:val="00B60A06"/>
    <w:rsid w:val="00B60E82"/>
    <w:rsid w:val="00B615C2"/>
    <w:rsid w:val="00B61874"/>
    <w:rsid w:val="00B61A68"/>
    <w:rsid w:val="00B61DEC"/>
    <w:rsid w:val="00B62A03"/>
    <w:rsid w:val="00B631B5"/>
    <w:rsid w:val="00B63D4F"/>
    <w:rsid w:val="00B64A05"/>
    <w:rsid w:val="00B65599"/>
    <w:rsid w:val="00B65CD9"/>
    <w:rsid w:val="00B65E60"/>
    <w:rsid w:val="00B66EDA"/>
    <w:rsid w:val="00B67508"/>
    <w:rsid w:val="00B678F8"/>
    <w:rsid w:val="00B67AFA"/>
    <w:rsid w:val="00B70658"/>
    <w:rsid w:val="00B70FB6"/>
    <w:rsid w:val="00B7106B"/>
    <w:rsid w:val="00B72784"/>
    <w:rsid w:val="00B732D5"/>
    <w:rsid w:val="00B7446F"/>
    <w:rsid w:val="00B7595B"/>
    <w:rsid w:val="00B75A1E"/>
    <w:rsid w:val="00B778AC"/>
    <w:rsid w:val="00B80E47"/>
    <w:rsid w:val="00B80F9C"/>
    <w:rsid w:val="00B8141C"/>
    <w:rsid w:val="00B8166C"/>
    <w:rsid w:val="00B83642"/>
    <w:rsid w:val="00B8552F"/>
    <w:rsid w:val="00B85B61"/>
    <w:rsid w:val="00B85B92"/>
    <w:rsid w:val="00B8676D"/>
    <w:rsid w:val="00B86D20"/>
    <w:rsid w:val="00B87BAA"/>
    <w:rsid w:val="00B90B0D"/>
    <w:rsid w:val="00B91F38"/>
    <w:rsid w:val="00B92D8E"/>
    <w:rsid w:val="00B92F25"/>
    <w:rsid w:val="00B93C32"/>
    <w:rsid w:val="00B950E0"/>
    <w:rsid w:val="00B9595F"/>
    <w:rsid w:val="00B95FE3"/>
    <w:rsid w:val="00B96E01"/>
    <w:rsid w:val="00B96E75"/>
    <w:rsid w:val="00B97416"/>
    <w:rsid w:val="00B97819"/>
    <w:rsid w:val="00B97A6F"/>
    <w:rsid w:val="00BA000F"/>
    <w:rsid w:val="00BA12A8"/>
    <w:rsid w:val="00BA2686"/>
    <w:rsid w:val="00BA32EF"/>
    <w:rsid w:val="00BA38A2"/>
    <w:rsid w:val="00BA3BBD"/>
    <w:rsid w:val="00BA416D"/>
    <w:rsid w:val="00BA4443"/>
    <w:rsid w:val="00BA642D"/>
    <w:rsid w:val="00BA663F"/>
    <w:rsid w:val="00BA6E43"/>
    <w:rsid w:val="00BA73BB"/>
    <w:rsid w:val="00BB1D56"/>
    <w:rsid w:val="00BB21CE"/>
    <w:rsid w:val="00BB24D0"/>
    <w:rsid w:val="00BB3317"/>
    <w:rsid w:val="00BB3CEA"/>
    <w:rsid w:val="00BB43D1"/>
    <w:rsid w:val="00BB5186"/>
    <w:rsid w:val="00BB5EA3"/>
    <w:rsid w:val="00BB61F9"/>
    <w:rsid w:val="00BB62CB"/>
    <w:rsid w:val="00BB6989"/>
    <w:rsid w:val="00BB758F"/>
    <w:rsid w:val="00BB7C73"/>
    <w:rsid w:val="00BC0168"/>
    <w:rsid w:val="00BC03D6"/>
    <w:rsid w:val="00BC0D2C"/>
    <w:rsid w:val="00BC1520"/>
    <w:rsid w:val="00BC2C06"/>
    <w:rsid w:val="00BC2FC4"/>
    <w:rsid w:val="00BC3795"/>
    <w:rsid w:val="00BC4FE4"/>
    <w:rsid w:val="00BC56DB"/>
    <w:rsid w:val="00BC5907"/>
    <w:rsid w:val="00BC5DEE"/>
    <w:rsid w:val="00BC5F23"/>
    <w:rsid w:val="00BC6296"/>
    <w:rsid w:val="00BC6D1F"/>
    <w:rsid w:val="00BC7092"/>
    <w:rsid w:val="00BD00E2"/>
    <w:rsid w:val="00BD1A0D"/>
    <w:rsid w:val="00BD2388"/>
    <w:rsid w:val="00BD273E"/>
    <w:rsid w:val="00BD29D7"/>
    <w:rsid w:val="00BD2C0F"/>
    <w:rsid w:val="00BD3600"/>
    <w:rsid w:val="00BD397E"/>
    <w:rsid w:val="00BD39AC"/>
    <w:rsid w:val="00BD3D67"/>
    <w:rsid w:val="00BD3F22"/>
    <w:rsid w:val="00BD45B3"/>
    <w:rsid w:val="00BD5472"/>
    <w:rsid w:val="00BD68C8"/>
    <w:rsid w:val="00BE03FB"/>
    <w:rsid w:val="00BE120D"/>
    <w:rsid w:val="00BE2F55"/>
    <w:rsid w:val="00BE362C"/>
    <w:rsid w:val="00BE4234"/>
    <w:rsid w:val="00BE45D7"/>
    <w:rsid w:val="00BE4ED0"/>
    <w:rsid w:val="00BE5078"/>
    <w:rsid w:val="00BE5682"/>
    <w:rsid w:val="00BE5FE1"/>
    <w:rsid w:val="00BE7D33"/>
    <w:rsid w:val="00BF089F"/>
    <w:rsid w:val="00BF16F2"/>
    <w:rsid w:val="00BF2A23"/>
    <w:rsid w:val="00BF2C2C"/>
    <w:rsid w:val="00BF3499"/>
    <w:rsid w:val="00BF35E9"/>
    <w:rsid w:val="00BF363C"/>
    <w:rsid w:val="00BF3ABE"/>
    <w:rsid w:val="00BF3AC9"/>
    <w:rsid w:val="00BF3E77"/>
    <w:rsid w:val="00BF56A8"/>
    <w:rsid w:val="00BF6FB5"/>
    <w:rsid w:val="00BF7334"/>
    <w:rsid w:val="00BF75E4"/>
    <w:rsid w:val="00BF7DDB"/>
    <w:rsid w:val="00C01C15"/>
    <w:rsid w:val="00C03C85"/>
    <w:rsid w:val="00C03CEC"/>
    <w:rsid w:val="00C03F2D"/>
    <w:rsid w:val="00C043BD"/>
    <w:rsid w:val="00C0501A"/>
    <w:rsid w:val="00C058D7"/>
    <w:rsid w:val="00C05C5E"/>
    <w:rsid w:val="00C06853"/>
    <w:rsid w:val="00C12A0A"/>
    <w:rsid w:val="00C12D5E"/>
    <w:rsid w:val="00C12E64"/>
    <w:rsid w:val="00C131FD"/>
    <w:rsid w:val="00C13A4D"/>
    <w:rsid w:val="00C13E31"/>
    <w:rsid w:val="00C1430F"/>
    <w:rsid w:val="00C1572A"/>
    <w:rsid w:val="00C1624E"/>
    <w:rsid w:val="00C16681"/>
    <w:rsid w:val="00C17304"/>
    <w:rsid w:val="00C17BD4"/>
    <w:rsid w:val="00C2086E"/>
    <w:rsid w:val="00C20EE9"/>
    <w:rsid w:val="00C21BF7"/>
    <w:rsid w:val="00C21E1D"/>
    <w:rsid w:val="00C233C3"/>
    <w:rsid w:val="00C23558"/>
    <w:rsid w:val="00C236A4"/>
    <w:rsid w:val="00C2426C"/>
    <w:rsid w:val="00C30642"/>
    <w:rsid w:val="00C31B8E"/>
    <w:rsid w:val="00C32303"/>
    <w:rsid w:val="00C3498C"/>
    <w:rsid w:val="00C34BB1"/>
    <w:rsid w:val="00C34C5D"/>
    <w:rsid w:val="00C35869"/>
    <w:rsid w:val="00C365DA"/>
    <w:rsid w:val="00C37F65"/>
    <w:rsid w:val="00C400A8"/>
    <w:rsid w:val="00C40E8A"/>
    <w:rsid w:val="00C40F02"/>
    <w:rsid w:val="00C41111"/>
    <w:rsid w:val="00C416A1"/>
    <w:rsid w:val="00C42B3B"/>
    <w:rsid w:val="00C434CC"/>
    <w:rsid w:val="00C4474D"/>
    <w:rsid w:val="00C44926"/>
    <w:rsid w:val="00C44FAC"/>
    <w:rsid w:val="00C461B6"/>
    <w:rsid w:val="00C46408"/>
    <w:rsid w:val="00C472CF"/>
    <w:rsid w:val="00C47581"/>
    <w:rsid w:val="00C504D8"/>
    <w:rsid w:val="00C50BA8"/>
    <w:rsid w:val="00C50D03"/>
    <w:rsid w:val="00C511E6"/>
    <w:rsid w:val="00C5185B"/>
    <w:rsid w:val="00C526A6"/>
    <w:rsid w:val="00C52D2C"/>
    <w:rsid w:val="00C540CB"/>
    <w:rsid w:val="00C55044"/>
    <w:rsid w:val="00C55213"/>
    <w:rsid w:val="00C554FC"/>
    <w:rsid w:val="00C55D58"/>
    <w:rsid w:val="00C55EBF"/>
    <w:rsid w:val="00C57470"/>
    <w:rsid w:val="00C579FE"/>
    <w:rsid w:val="00C57B34"/>
    <w:rsid w:val="00C60438"/>
    <w:rsid w:val="00C60E59"/>
    <w:rsid w:val="00C61701"/>
    <w:rsid w:val="00C61761"/>
    <w:rsid w:val="00C61BA8"/>
    <w:rsid w:val="00C6322B"/>
    <w:rsid w:val="00C64B99"/>
    <w:rsid w:val="00C65440"/>
    <w:rsid w:val="00C654AC"/>
    <w:rsid w:val="00C663D2"/>
    <w:rsid w:val="00C66A8E"/>
    <w:rsid w:val="00C66EFD"/>
    <w:rsid w:val="00C6751B"/>
    <w:rsid w:val="00C678AA"/>
    <w:rsid w:val="00C67B50"/>
    <w:rsid w:val="00C701A7"/>
    <w:rsid w:val="00C719C4"/>
    <w:rsid w:val="00C71F82"/>
    <w:rsid w:val="00C72368"/>
    <w:rsid w:val="00C75124"/>
    <w:rsid w:val="00C752D7"/>
    <w:rsid w:val="00C759F2"/>
    <w:rsid w:val="00C75F6E"/>
    <w:rsid w:val="00C76279"/>
    <w:rsid w:val="00C77039"/>
    <w:rsid w:val="00C7796B"/>
    <w:rsid w:val="00C8030D"/>
    <w:rsid w:val="00C8072A"/>
    <w:rsid w:val="00C81096"/>
    <w:rsid w:val="00C81FBC"/>
    <w:rsid w:val="00C82DC6"/>
    <w:rsid w:val="00C8333D"/>
    <w:rsid w:val="00C834B9"/>
    <w:rsid w:val="00C837C4"/>
    <w:rsid w:val="00C84E39"/>
    <w:rsid w:val="00C8511A"/>
    <w:rsid w:val="00C85F4B"/>
    <w:rsid w:val="00C86A03"/>
    <w:rsid w:val="00C86F64"/>
    <w:rsid w:val="00C87055"/>
    <w:rsid w:val="00C87C94"/>
    <w:rsid w:val="00C87EFE"/>
    <w:rsid w:val="00C90AD9"/>
    <w:rsid w:val="00C91594"/>
    <w:rsid w:val="00C9291C"/>
    <w:rsid w:val="00C93A48"/>
    <w:rsid w:val="00C95ADF"/>
    <w:rsid w:val="00C9628A"/>
    <w:rsid w:val="00C96D79"/>
    <w:rsid w:val="00C96EEA"/>
    <w:rsid w:val="00C978BC"/>
    <w:rsid w:val="00C97A7B"/>
    <w:rsid w:val="00C97B98"/>
    <w:rsid w:val="00CA0014"/>
    <w:rsid w:val="00CA0923"/>
    <w:rsid w:val="00CA100B"/>
    <w:rsid w:val="00CA228B"/>
    <w:rsid w:val="00CA2744"/>
    <w:rsid w:val="00CA3047"/>
    <w:rsid w:val="00CA3B3A"/>
    <w:rsid w:val="00CA3D6B"/>
    <w:rsid w:val="00CA4819"/>
    <w:rsid w:val="00CA5A9A"/>
    <w:rsid w:val="00CA641C"/>
    <w:rsid w:val="00CA7554"/>
    <w:rsid w:val="00CA7A1A"/>
    <w:rsid w:val="00CA7B9C"/>
    <w:rsid w:val="00CB0413"/>
    <w:rsid w:val="00CB17E7"/>
    <w:rsid w:val="00CB17FB"/>
    <w:rsid w:val="00CB2AC6"/>
    <w:rsid w:val="00CB438E"/>
    <w:rsid w:val="00CB4700"/>
    <w:rsid w:val="00CB4B96"/>
    <w:rsid w:val="00CB4D77"/>
    <w:rsid w:val="00CB5210"/>
    <w:rsid w:val="00CB5365"/>
    <w:rsid w:val="00CB62D7"/>
    <w:rsid w:val="00CB6E8F"/>
    <w:rsid w:val="00CB6F6E"/>
    <w:rsid w:val="00CC0CBD"/>
    <w:rsid w:val="00CC13BE"/>
    <w:rsid w:val="00CC15EB"/>
    <w:rsid w:val="00CC170C"/>
    <w:rsid w:val="00CC1CDA"/>
    <w:rsid w:val="00CC1F2A"/>
    <w:rsid w:val="00CC2440"/>
    <w:rsid w:val="00CC32D4"/>
    <w:rsid w:val="00CC3BDA"/>
    <w:rsid w:val="00CC4D33"/>
    <w:rsid w:val="00CC629A"/>
    <w:rsid w:val="00CC6D1F"/>
    <w:rsid w:val="00CC6D8B"/>
    <w:rsid w:val="00CC7830"/>
    <w:rsid w:val="00CC7F3F"/>
    <w:rsid w:val="00CD0D61"/>
    <w:rsid w:val="00CD1D72"/>
    <w:rsid w:val="00CD28B1"/>
    <w:rsid w:val="00CD3526"/>
    <w:rsid w:val="00CD379E"/>
    <w:rsid w:val="00CD5556"/>
    <w:rsid w:val="00CD5FD1"/>
    <w:rsid w:val="00CD60F4"/>
    <w:rsid w:val="00CD6A05"/>
    <w:rsid w:val="00CD7186"/>
    <w:rsid w:val="00CD7240"/>
    <w:rsid w:val="00CD7E00"/>
    <w:rsid w:val="00CE12B3"/>
    <w:rsid w:val="00CE1B00"/>
    <w:rsid w:val="00CE1D56"/>
    <w:rsid w:val="00CE1FC0"/>
    <w:rsid w:val="00CE2148"/>
    <w:rsid w:val="00CE2481"/>
    <w:rsid w:val="00CE2BD6"/>
    <w:rsid w:val="00CE2CF4"/>
    <w:rsid w:val="00CE30E3"/>
    <w:rsid w:val="00CE32DD"/>
    <w:rsid w:val="00CE3F90"/>
    <w:rsid w:val="00CE458D"/>
    <w:rsid w:val="00CE4592"/>
    <w:rsid w:val="00CE4DF9"/>
    <w:rsid w:val="00CE54B6"/>
    <w:rsid w:val="00CE5A58"/>
    <w:rsid w:val="00CE5C08"/>
    <w:rsid w:val="00CE5F46"/>
    <w:rsid w:val="00CE69DF"/>
    <w:rsid w:val="00CE700C"/>
    <w:rsid w:val="00CE7F28"/>
    <w:rsid w:val="00CE7FCA"/>
    <w:rsid w:val="00CF02E1"/>
    <w:rsid w:val="00CF07F1"/>
    <w:rsid w:val="00CF0AB6"/>
    <w:rsid w:val="00CF2115"/>
    <w:rsid w:val="00CF277E"/>
    <w:rsid w:val="00CF3781"/>
    <w:rsid w:val="00CF4447"/>
    <w:rsid w:val="00CF46B3"/>
    <w:rsid w:val="00CF5188"/>
    <w:rsid w:val="00CF5512"/>
    <w:rsid w:val="00CF5536"/>
    <w:rsid w:val="00CF6F9C"/>
    <w:rsid w:val="00D02B9A"/>
    <w:rsid w:val="00D0301E"/>
    <w:rsid w:val="00D035CA"/>
    <w:rsid w:val="00D045A9"/>
    <w:rsid w:val="00D04F5F"/>
    <w:rsid w:val="00D05500"/>
    <w:rsid w:val="00D0638B"/>
    <w:rsid w:val="00D071B8"/>
    <w:rsid w:val="00D102B9"/>
    <w:rsid w:val="00D112E8"/>
    <w:rsid w:val="00D117B1"/>
    <w:rsid w:val="00D12F5B"/>
    <w:rsid w:val="00D13639"/>
    <w:rsid w:val="00D1782D"/>
    <w:rsid w:val="00D17F5C"/>
    <w:rsid w:val="00D21DBA"/>
    <w:rsid w:val="00D2202F"/>
    <w:rsid w:val="00D22A4B"/>
    <w:rsid w:val="00D22E92"/>
    <w:rsid w:val="00D23326"/>
    <w:rsid w:val="00D24468"/>
    <w:rsid w:val="00D25F6E"/>
    <w:rsid w:val="00D27B0A"/>
    <w:rsid w:val="00D27BD4"/>
    <w:rsid w:val="00D27E5B"/>
    <w:rsid w:val="00D30198"/>
    <w:rsid w:val="00D314B0"/>
    <w:rsid w:val="00D31AB0"/>
    <w:rsid w:val="00D321E9"/>
    <w:rsid w:val="00D33AD8"/>
    <w:rsid w:val="00D347DD"/>
    <w:rsid w:val="00D34B07"/>
    <w:rsid w:val="00D34B32"/>
    <w:rsid w:val="00D354D3"/>
    <w:rsid w:val="00D35931"/>
    <w:rsid w:val="00D35CE0"/>
    <w:rsid w:val="00D36E82"/>
    <w:rsid w:val="00D377BD"/>
    <w:rsid w:val="00D37F72"/>
    <w:rsid w:val="00D40AAE"/>
    <w:rsid w:val="00D410C0"/>
    <w:rsid w:val="00D412B4"/>
    <w:rsid w:val="00D41465"/>
    <w:rsid w:val="00D41480"/>
    <w:rsid w:val="00D41C35"/>
    <w:rsid w:val="00D427FB"/>
    <w:rsid w:val="00D43AB2"/>
    <w:rsid w:val="00D44AA0"/>
    <w:rsid w:val="00D44BB8"/>
    <w:rsid w:val="00D45AFC"/>
    <w:rsid w:val="00D45BCC"/>
    <w:rsid w:val="00D463BE"/>
    <w:rsid w:val="00D47055"/>
    <w:rsid w:val="00D472F7"/>
    <w:rsid w:val="00D503A4"/>
    <w:rsid w:val="00D5077C"/>
    <w:rsid w:val="00D51193"/>
    <w:rsid w:val="00D51581"/>
    <w:rsid w:val="00D5277E"/>
    <w:rsid w:val="00D541F0"/>
    <w:rsid w:val="00D545A4"/>
    <w:rsid w:val="00D562D6"/>
    <w:rsid w:val="00D56985"/>
    <w:rsid w:val="00D56EA4"/>
    <w:rsid w:val="00D56F1E"/>
    <w:rsid w:val="00D57223"/>
    <w:rsid w:val="00D577F8"/>
    <w:rsid w:val="00D60183"/>
    <w:rsid w:val="00D60981"/>
    <w:rsid w:val="00D60AD7"/>
    <w:rsid w:val="00D60FCB"/>
    <w:rsid w:val="00D618F6"/>
    <w:rsid w:val="00D624D6"/>
    <w:rsid w:val="00D65CDD"/>
    <w:rsid w:val="00D66910"/>
    <w:rsid w:val="00D676D5"/>
    <w:rsid w:val="00D70FFE"/>
    <w:rsid w:val="00D71537"/>
    <w:rsid w:val="00D71562"/>
    <w:rsid w:val="00D7189A"/>
    <w:rsid w:val="00D71B06"/>
    <w:rsid w:val="00D71EEE"/>
    <w:rsid w:val="00D71F9C"/>
    <w:rsid w:val="00D72B00"/>
    <w:rsid w:val="00D73459"/>
    <w:rsid w:val="00D73649"/>
    <w:rsid w:val="00D738C2"/>
    <w:rsid w:val="00D738CE"/>
    <w:rsid w:val="00D740F5"/>
    <w:rsid w:val="00D7416E"/>
    <w:rsid w:val="00D758D3"/>
    <w:rsid w:val="00D76D71"/>
    <w:rsid w:val="00D81FA1"/>
    <w:rsid w:val="00D82CFC"/>
    <w:rsid w:val="00D82EC3"/>
    <w:rsid w:val="00D835E2"/>
    <w:rsid w:val="00D83C26"/>
    <w:rsid w:val="00D85F9A"/>
    <w:rsid w:val="00D86542"/>
    <w:rsid w:val="00D90D27"/>
    <w:rsid w:val="00D90F07"/>
    <w:rsid w:val="00D93414"/>
    <w:rsid w:val="00D936EF"/>
    <w:rsid w:val="00D94B71"/>
    <w:rsid w:val="00D96EF1"/>
    <w:rsid w:val="00DA14AA"/>
    <w:rsid w:val="00DA23C0"/>
    <w:rsid w:val="00DA312E"/>
    <w:rsid w:val="00DA31D9"/>
    <w:rsid w:val="00DA4016"/>
    <w:rsid w:val="00DA4486"/>
    <w:rsid w:val="00DA475D"/>
    <w:rsid w:val="00DA4FEA"/>
    <w:rsid w:val="00DA539B"/>
    <w:rsid w:val="00DA72AF"/>
    <w:rsid w:val="00DA7542"/>
    <w:rsid w:val="00DA7AF9"/>
    <w:rsid w:val="00DA7B3C"/>
    <w:rsid w:val="00DB0256"/>
    <w:rsid w:val="00DB048D"/>
    <w:rsid w:val="00DB0ED9"/>
    <w:rsid w:val="00DB1AE4"/>
    <w:rsid w:val="00DB22CD"/>
    <w:rsid w:val="00DB24B2"/>
    <w:rsid w:val="00DB2602"/>
    <w:rsid w:val="00DB3EDD"/>
    <w:rsid w:val="00DB480C"/>
    <w:rsid w:val="00DB53F6"/>
    <w:rsid w:val="00DB5E14"/>
    <w:rsid w:val="00DB7188"/>
    <w:rsid w:val="00DC108B"/>
    <w:rsid w:val="00DC1409"/>
    <w:rsid w:val="00DC1430"/>
    <w:rsid w:val="00DC1855"/>
    <w:rsid w:val="00DC2284"/>
    <w:rsid w:val="00DC2DC1"/>
    <w:rsid w:val="00DC3DEC"/>
    <w:rsid w:val="00DC4096"/>
    <w:rsid w:val="00DC4279"/>
    <w:rsid w:val="00DC5353"/>
    <w:rsid w:val="00DC5A67"/>
    <w:rsid w:val="00DC5ECB"/>
    <w:rsid w:val="00DC6968"/>
    <w:rsid w:val="00DC7667"/>
    <w:rsid w:val="00DD03A2"/>
    <w:rsid w:val="00DD072D"/>
    <w:rsid w:val="00DD07CA"/>
    <w:rsid w:val="00DD0F62"/>
    <w:rsid w:val="00DD11BE"/>
    <w:rsid w:val="00DD12ED"/>
    <w:rsid w:val="00DD2CDF"/>
    <w:rsid w:val="00DD3082"/>
    <w:rsid w:val="00DD583E"/>
    <w:rsid w:val="00DD671A"/>
    <w:rsid w:val="00DD6736"/>
    <w:rsid w:val="00DD681F"/>
    <w:rsid w:val="00DD7F5F"/>
    <w:rsid w:val="00DE0178"/>
    <w:rsid w:val="00DE0A16"/>
    <w:rsid w:val="00DE0AB4"/>
    <w:rsid w:val="00DE0CAB"/>
    <w:rsid w:val="00DE0D53"/>
    <w:rsid w:val="00DE28BB"/>
    <w:rsid w:val="00DE36ED"/>
    <w:rsid w:val="00DE394D"/>
    <w:rsid w:val="00DE42EA"/>
    <w:rsid w:val="00DE45DC"/>
    <w:rsid w:val="00DE57B8"/>
    <w:rsid w:val="00DE596D"/>
    <w:rsid w:val="00DE663A"/>
    <w:rsid w:val="00DE67FB"/>
    <w:rsid w:val="00DF0E75"/>
    <w:rsid w:val="00DF17FF"/>
    <w:rsid w:val="00DF3110"/>
    <w:rsid w:val="00DF3340"/>
    <w:rsid w:val="00DF3712"/>
    <w:rsid w:val="00DF4822"/>
    <w:rsid w:val="00DF4BB3"/>
    <w:rsid w:val="00DF569F"/>
    <w:rsid w:val="00DF5D18"/>
    <w:rsid w:val="00DF5E3A"/>
    <w:rsid w:val="00DF6652"/>
    <w:rsid w:val="00DF7102"/>
    <w:rsid w:val="00DF7889"/>
    <w:rsid w:val="00DF7DED"/>
    <w:rsid w:val="00DF7ED0"/>
    <w:rsid w:val="00E007FB"/>
    <w:rsid w:val="00E00B63"/>
    <w:rsid w:val="00E00D2A"/>
    <w:rsid w:val="00E040DC"/>
    <w:rsid w:val="00E04390"/>
    <w:rsid w:val="00E043BB"/>
    <w:rsid w:val="00E04990"/>
    <w:rsid w:val="00E05CDB"/>
    <w:rsid w:val="00E06D0B"/>
    <w:rsid w:val="00E0722D"/>
    <w:rsid w:val="00E07C2F"/>
    <w:rsid w:val="00E07E9C"/>
    <w:rsid w:val="00E101DA"/>
    <w:rsid w:val="00E10E6D"/>
    <w:rsid w:val="00E119B7"/>
    <w:rsid w:val="00E11C04"/>
    <w:rsid w:val="00E12245"/>
    <w:rsid w:val="00E122CA"/>
    <w:rsid w:val="00E1266C"/>
    <w:rsid w:val="00E12B92"/>
    <w:rsid w:val="00E13DFE"/>
    <w:rsid w:val="00E15529"/>
    <w:rsid w:val="00E15541"/>
    <w:rsid w:val="00E15817"/>
    <w:rsid w:val="00E1658C"/>
    <w:rsid w:val="00E16650"/>
    <w:rsid w:val="00E16981"/>
    <w:rsid w:val="00E16D16"/>
    <w:rsid w:val="00E17848"/>
    <w:rsid w:val="00E2086E"/>
    <w:rsid w:val="00E21291"/>
    <w:rsid w:val="00E212AB"/>
    <w:rsid w:val="00E25C38"/>
    <w:rsid w:val="00E25FE7"/>
    <w:rsid w:val="00E25FF9"/>
    <w:rsid w:val="00E2632A"/>
    <w:rsid w:val="00E26524"/>
    <w:rsid w:val="00E26820"/>
    <w:rsid w:val="00E26E7B"/>
    <w:rsid w:val="00E27548"/>
    <w:rsid w:val="00E30E13"/>
    <w:rsid w:val="00E31CDF"/>
    <w:rsid w:val="00E33881"/>
    <w:rsid w:val="00E3425B"/>
    <w:rsid w:val="00E34FEF"/>
    <w:rsid w:val="00E35C4A"/>
    <w:rsid w:val="00E35FBD"/>
    <w:rsid w:val="00E377CC"/>
    <w:rsid w:val="00E37D19"/>
    <w:rsid w:val="00E40195"/>
    <w:rsid w:val="00E403BA"/>
    <w:rsid w:val="00E41A43"/>
    <w:rsid w:val="00E41D2F"/>
    <w:rsid w:val="00E4303F"/>
    <w:rsid w:val="00E43670"/>
    <w:rsid w:val="00E44A8D"/>
    <w:rsid w:val="00E44AD3"/>
    <w:rsid w:val="00E45517"/>
    <w:rsid w:val="00E46440"/>
    <w:rsid w:val="00E476B4"/>
    <w:rsid w:val="00E47BAA"/>
    <w:rsid w:val="00E50611"/>
    <w:rsid w:val="00E50F36"/>
    <w:rsid w:val="00E51024"/>
    <w:rsid w:val="00E51213"/>
    <w:rsid w:val="00E52C0C"/>
    <w:rsid w:val="00E53485"/>
    <w:rsid w:val="00E54414"/>
    <w:rsid w:val="00E56CF1"/>
    <w:rsid w:val="00E5743E"/>
    <w:rsid w:val="00E6056E"/>
    <w:rsid w:val="00E610AB"/>
    <w:rsid w:val="00E61C06"/>
    <w:rsid w:val="00E63237"/>
    <w:rsid w:val="00E63596"/>
    <w:rsid w:val="00E63A24"/>
    <w:rsid w:val="00E63D0A"/>
    <w:rsid w:val="00E63EFA"/>
    <w:rsid w:val="00E6441D"/>
    <w:rsid w:val="00E65E70"/>
    <w:rsid w:val="00E66907"/>
    <w:rsid w:val="00E66971"/>
    <w:rsid w:val="00E66EB6"/>
    <w:rsid w:val="00E670F3"/>
    <w:rsid w:val="00E6752E"/>
    <w:rsid w:val="00E70875"/>
    <w:rsid w:val="00E71246"/>
    <w:rsid w:val="00E71365"/>
    <w:rsid w:val="00E71CB2"/>
    <w:rsid w:val="00E72739"/>
    <w:rsid w:val="00E72DE5"/>
    <w:rsid w:val="00E73A4B"/>
    <w:rsid w:val="00E7456E"/>
    <w:rsid w:val="00E74602"/>
    <w:rsid w:val="00E754AB"/>
    <w:rsid w:val="00E75FA6"/>
    <w:rsid w:val="00E7612F"/>
    <w:rsid w:val="00E76A51"/>
    <w:rsid w:val="00E77D0E"/>
    <w:rsid w:val="00E77E7C"/>
    <w:rsid w:val="00E80C2D"/>
    <w:rsid w:val="00E818C0"/>
    <w:rsid w:val="00E81DEA"/>
    <w:rsid w:val="00E8242C"/>
    <w:rsid w:val="00E828C0"/>
    <w:rsid w:val="00E8352C"/>
    <w:rsid w:val="00E83EC8"/>
    <w:rsid w:val="00E84054"/>
    <w:rsid w:val="00E8429A"/>
    <w:rsid w:val="00E84507"/>
    <w:rsid w:val="00E84DB6"/>
    <w:rsid w:val="00E85A0E"/>
    <w:rsid w:val="00E85C26"/>
    <w:rsid w:val="00E90BD9"/>
    <w:rsid w:val="00E9116A"/>
    <w:rsid w:val="00E92B45"/>
    <w:rsid w:val="00E93696"/>
    <w:rsid w:val="00E93AE3"/>
    <w:rsid w:val="00E93E5C"/>
    <w:rsid w:val="00E94064"/>
    <w:rsid w:val="00E94179"/>
    <w:rsid w:val="00E9422A"/>
    <w:rsid w:val="00E94B80"/>
    <w:rsid w:val="00E94FAA"/>
    <w:rsid w:val="00E968AB"/>
    <w:rsid w:val="00E96916"/>
    <w:rsid w:val="00E96B6E"/>
    <w:rsid w:val="00E97111"/>
    <w:rsid w:val="00E9775F"/>
    <w:rsid w:val="00EA0D43"/>
    <w:rsid w:val="00EA1B39"/>
    <w:rsid w:val="00EA1FF7"/>
    <w:rsid w:val="00EA2221"/>
    <w:rsid w:val="00EA2C85"/>
    <w:rsid w:val="00EA5A19"/>
    <w:rsid w:val="00EA6DC5"/>
    <w:rsid w:val="00EA7B54"/>
    <w:rsid w:val="00EA7CF8"/>
    <w:rsid w:val="00EB003E"/>
    <w:rsid w:val="00EB109A"/>
    <w:rsid w:val="00EB1F19"/>
    <w:rsid w:val="00EB2A38"/>
    <w:rsid w:val="00EB3DF5"/>
    <w:rsid w:val="00EB5449"/>
    <w:rsid w:val="00EB6594"/>
    <w:rsid w:val="00EB6AF4"/>
    <w:rsid w:val="00EB75F3"/>
    <w:rsid w:val="00EB7B6A"/>
    <w:rsid w:val="00EB7B73"/>
    <w:rsid w:val="00EC07DF"/>
    <w:rsid w:val="00EC0A6A"/>
    <w:rsid w:val="00EC25DD"/>
    <w:rsid w:val="00EC2C61"/>
    <w:rsid w:val="00EC4BC2"/>
    <w:rsid w:val="00EC4E1E"/>
    <w:rsid w:val="00EC5BD9"/>
    <w:rsid w:val="00EC5D25"/>
    <w:rsid w:val="00EC686D"/>
    <w:rsid w:val="00EC696C"/>
    <w:rsid w:val="00ED0D7F"/>
    <w:rsid w:val="00ED1014"/>
    <w:rsid w:val="00ED13F3"/>
    <w:rsid w:val="00ED1826"/>
    <w:rsid w:val="00ED2709"/>
    <w:rsid w:val="00ED2CDD"/>
    <w:rsid w:val="00ED4BB5"/>
    <w:rsid w:val="00ED640E"/>
    <w:rsid w:val="00ED6925"/>
    <w:rsid w:val="00EE116A"/>
    <w:rsid w:val="00EE2328"/>
    <w:rsid w:val="00EE30CF"/>
    <w:rsid w:val="00EE40C8"/>
    <w:rsid w:val="00EE467C"/>
    <w:rsid w:val="00EE58B6"/>
    <w:rsid w:val="00EE70FC"/>
    <w:rsid w:val="00EF04A4"/>
    <w:rsid w:val="00EF0D8F"/>
    <w:rsid w:val="00EF12D0"/>
    <w:rsid w:val="00EF2891"/>
    <w:rsid w:val="00EF303F"/>
    <w:rsid w:val="00EF304C"/>
    <w:rsid w:val="00EF3A8F"/>
    <w:rsid w:val="00EF3C03"/>
    <w:rsid w:val="00EF4138"/>
    <w:rsid w:val="00EF4BDB"/>
    <w:rsid w:val="00EF6007"/>
    <w:rsid w:val="00EF62D3"/>
    <w:rsid w:val="00EF65FE"/>
    <w:rsid w:val="00EF6D61"/>
    <w:rsid w:val="00EF6D96"/>
    <w:rsid w:val="00EF7F1C"/>
    <w:rsid w:val="00F00851"/>
    <w:rsid w:val="00F01582"/>
    <w:rsid w:val="00F0167D"/>
    <w:rsid w:val="00F02CC8"/>
    <w:rsid w:val="00F035A6"/>
    <w:rsid w:val="00F03FC6"/>
    <w:rsid w:val="00F04081"/>
    <w:rsid w:val="00F042CF"/>
    <w:rsid w:val="00F04C14"/>
    <w:rsid w:val="00F05124"/>
    <w:rsid w:val="00F057D7"/>
    <w:rsid w:val="00F05F40"/>
    <w:rsid w:val="00F06F9D"/>
    <w:rsid w:val="00F0747D"/>
    <w:rsid w:val="00F07A86"/>
    <w:rsid w:val="00F10392"/>
    <w:rsid w:val="00F108DB"/>
    <w:rsid w:val="00F10BD8"/>
    <w:rsid w:val="00F10E23"/>
    <w:rsid w:val="00F10F36"/>
    <w:rsid w:val="00F11170"/>
    <w:rsid w:val="00F111B4"/>
    <w:rsid w:val="00F11EA1"/>
    <w:rsid w:val="00F14FF2"/>
    <w:rsid w:val="00F15215"/>
    <w:rsid w:val="00F15753"/>
    <w:rsid w:val="00F176AA"/>
    <w:rsid w:val="00F17C0D"/>
    <w:rsid w:val="00F17CEA"/>
    <w:rsid w:val="00F21277"/>
    <w:rsid w:val="00F23E06"/>
    <w:rsid w:val="00F24D04"/>
    <w:rsid w:val="00F25D31"/>
    <w:rsid w:val="00F26792"/>
    <w:rsid w:val="00F26A96"/>
    <w:rsid w:val="00F27D01"/>
    <w:rsid w:val="00F300E8"/>
    <w:rsid w:val="00F30688"/>
    <w:rsid w:val="00F30691"/>
    <w:rsid w:val="00F30C26"/>
    <w:rsid w:val="00F3106F"/>
    <w:rsid w:val="00F31977"/>
    <w:rsid w:val="00F31E5E"/>
    <w:rsid w:val="00F32B8E"/>
    <w:rsid w:val="00F32BE5"/>
    <w:rsid w:val="00F33051"/>
    <w:rsid w:val="00F33167"/>
    <w:rsid w:val="00F332B3"/>
    <w:rsid w:val="00F33F5B"/>
    <w:rsid w:val="00F35DD3"/>
    <w:rsid w:val="00F37154"/>
    <w:rsid w:val="00F372C7"/>
    <w:rsid w:val="00F379CB"/>
    <w:rsid w:val="00F4006B"/>
    <w:rsid w:val="00F4063F"/>
    <w:rsid w:val="00F40B3F"/>
    <w:rsid w:val="00F40FE7"/>
    <w:rsid w:val="00F41171"/>
    <w:rsid w:val="00F41195"/>
    <w:rsid w:val="00F41786"/>
    <w:rsid w:val="00F42501"/>
    <w:rsid w:val="00F4297F"/>
    <w:rsid w:val="00F43137"/>
    <w:rsid w:val="00F436FA"/>
    <w:rsid w:val="00F437AF"/>
    <w:rsid w:val="00F438C6"/>
    <w:rsid w:val="00F43E42"/>
    <w:rsid w:val="00F43EFD"/>
    <w:rsid w:val="00F4493D"/>
    <w:rsid w:val="00F4496A"/>
    <w:rsid w:val="00F45D48"/>
    <w:rsid w:val="00F46378"/>
    <w:rsid w:val="00F47D91"/>
    <w:rsid w:val="00F47E0F"/>
    <w:rsid w:val="00F505D9"/>
    <w:rsid w:val="00F50799"/>
    <w:rsid w:val="00F511BB"/>
    <w:rsid w:val="00F53031"/>
    <w:rsid w:val="00F5389F"/>
    <w:rsid w:val="00F5409A"/>
    <w:rsid w:val="00F55FFE"/>
    <w:rsid w:val="00F56E1F"/>
    <w:rsid w:val="00F57C60"/>
    <w:rsid w:val="00F57C84"/>
    <w:rsid w:val="00F601B3"/>
    <w:rsid w:val="00F608E3"/>
    <w:rsid w:val="00F610A5"/>
    <w:rsid w:val="00F61347"/>
    <w:rsid w:val="00F627C5"/>
    <w:rsid w:val="00F62A66"/>
    <w:rsid w:val="00F63593"/>
    <w:rsid w:val="00F6401B"/>
    <w:rsid w:val="00F64788"/>
    <w:rsid w:val="00F6715D"/>
    <w:rsid w:val="00F67FDA"/>
    <w:rsid w:val="00F718C2"/>
    <w:rsid w:val="00F71A54"/>
    <w:rsid w:val="00F71AB5"/>
    <w:rsid w:val="00F71BB0"/>
    <w:rsid w:val="00F71F2E"/>
    <w:rsid w:val="00F71F43"/>
    <w:rsid w:val="00F72017"/>
    <w:rsid w:val="00F739E4"/>
    <w:rsid w:val="00F741C6"/>
    <w:rsid w:val="00F74404"/>
    <w:rsid w:val="00F74787"/>
    <w:rsid w:val="00F74BB9"/>
    <w:rsid w:val="00F74C69"/>
    <w:rsid w:val="00F74D31"/>
    <w:rsid w:val="00F7637F"/>
    <w:rsid w:val="00F76883"/>
    <w:rsid w:val="00F7723F"/>
    <w:rsid w:val="00F804A0"/>
    <w:rsid w:val="00F828DA"/>
    <w:rsid w:val="00F828EA"/>
    <w:rsid w:val="00F83C01"/>
    <w:rsid w:val="00F83CCF"/>
    <w:rsid w:val="00F83DB4"/>
    <w:rsid w:val="00F83EC0"/>
    <w:rsid w:val="00F843FF"/>
    <w:rsid w:val="00F85301"/>
    <w:rsid w:val="00F8770D"/>
    <w:rsid w:val="00F8781D"/>
    <w:rsid w:val="00F9003C"/>
    <w:rsid w:val="00F90078"/>
    <w:rsid w:val="00F90B76"/>
    <w:rsid w:val="00F91F2B"/>
    <w:rsid w:val="00F92075"/>
    <w:rsid w:val="00F9212D"/>
    <w:rsid w:val="00F92741"/>
    <w:rsid w:val="00F93B73"/>
    <w:rsid w:val="00F94C6D"/>
    <w:rsid w:val="00F9519E"/>
    <w:rsid w:val="00F96F11"/>
    <w:rsid w:val="00FA0906"/>
    <w:rsid w:val="00FA0FF0"/>
    <w:rsid w:val="00FA1015"/>
    <w:rsid w:val="00FA4EC1"/>
    <w:rsid w:val="00FA4FA3"/>
    <w:rsid w:val="00FA5C3F"/>
    <w:rsid w:val="00FA6691"/>
    <w:rsid w:val="00FA68B7"/>
    <w:rsid w:val="00FA6D53"/>
    <w:rsid w:val="00FA78C1"/>
    <w:rsid w:val="00FB0C83"/>
    <w:rsid w:val="00FB0D7C"/>
    <w:rsid w:val="00FB294E"/>
    <w:rsid w:val="00FB32B4"/>
    <w:rsid w:val="00FB4DE3"/>
    <w:rsid w:val="00FB7E9D"/>
    <w:rsid w:val="00FB7F38"/>
    <w:rsid w:val="00FC06DB"/>
    <w:rsid w:val="00FC247D"/>
    <w:rsid w:val="00FC273A"/>
    <w:rsid w:val="00FC2E73"/>
    <w:rsid w:val="00FC30AB"/>
    <w:rsid w:val="00FC588B"/>
    <w:rsid w:val="00FC6614"/>
    <w:rsid w:val="00FD0B8D"/>
    <w:rsid w:val="00FD183D"/>
    <w:rsid w:val="00FD3942"/>
    <w:rsid w:val="00FD3D3B"/>
    <w:rsid w:val="00FD49FA"/>
    <w:rsid w:val="00FE00F7"/>
    <w:rsid w:val="00FE2DE3"/>
    <w:rsid w:val="00FE32D4"/>
    <w:rsid w:val="00FE4258"/>
    <w:rsid w:val="00FE4CE5"/>
    <w:rsid w:val="00FE4E32"/>
    <w:rsid w:val="00FE5295"/>
    <w:rsid w:val="00FE5320"/>
    <w:rsid w:val="00FE5EE0"/>
    <w:rsid w:val="00FE6B14"/>
    <w:rsid w:val="00FE7C33"/>
    <w:rsid w:val="00FF01E5"/>
    <w:rsid w:val="00FF02A9"/>
    <w:rsid w:val="00FF0EAC"/>
    <w:rsid w:val="00FF0EE4"/>
    <w:rsid w:val="00FF1564"/>
    <w:rsid w:val="00FF168F"/>
    <w:rsid w:val="00FF1933"/>
    <w:rsid w:val="00FF1A79"/>
    <w:rsid w:val="00FF1CC8"/>
    <w:rsid w:val="00FF2E75"/>
    <w:rsid w:val="00FF3222"/>
    <w:rsid w:val="00FF36AF"/>
    <w:rsid w:val="00FF381E"/>
    <w:rsid w:val="00FF38EB"/>
    <w:rsid w:val="00FF45D8"/>
    <w:rsid w:val="00FF45F9"/>
    <w:rsid w:val="00FF474E"/>
    <w:rsid w:val="00FF47B0"/>
    <w:rsid w:val="00FF48E7"/>
    <w:rsid w:val="00FF4FDE"/>
    <w:rsid w:val="00FF5ECE"/>
    <w:rsid w:val="00FF7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54ED"/>
    <w:pPr>
      <w:spacing w:line="288" w:lineRule="auto"/>
      <w:ind w:firstLine="360"/>
    </w:pPr>
    <w:rPr>
      <w:rFonts w:ascii="Segoe UI" w:hAnsi="Segoe UI"/>
      <w:szCs w:val="22"/>
      <w:lang w:eastAsia="ja-JP"/>
    </w:rPr>
  </w:style>
  <w:style w:type="paragraph" w:styleId="Heading1">
    <w:name w:val="heading 1"/>
    <w:basedOn w:val="Normal"/>
    <w:next w:val="Normal"/>
    <w:link w:val="Heading1Char"/>
    <w:uiPriority w:val="9"/>
    <w:qFormat/>
    <w:locked/>
    <w:rsid w:val="001154ED"/>
    <w:pPr>
      <w:spacing w:line="360" w:lineRule="auto"/>
      <w:ind w:firstLine="0"/>
      <w:outlineLvl w:val="0"/>
    </w:pPr>
    <w:rPr>
      <w:rFonts w:asciiTheme="majorHAnsi" w:hAnsiTheme="majorHAnsi" w:cstheme="majorHAnsi"/>
      <w:sz w:val="36"/>
      <w:szCs w:val="28"/>
    </w:rPr>
  </w:style>
  <w:style w:type="paragraph" w:styleId="Heading2">
    <w:name w:val="heading 2"/>
    <w:basedOn w:val="Normal"/>
    <w:next w:val="Normal"/>
    <w:link w:val="Heading2Char"/>
    <w:uiPriority w:val="9"/>
    <w:qFormat/>
    <w:locked/>
    <w:rsid w:val="001154ED"/>
    <w:pPr>
      <w:keepNext/>
      <w:keepLines/>
      <w:numPr>
        <w:numId w:val="1"/>
      </w:numPr>
      <w:spacing w:before="480" w:after="120" w:line="276" w:lineRule="auto"/>
      <w:ind w:left="540" w:hanging="540"/>
      <w:outlineLvl w:val="1"/>
    </w:pPr>
    <w:rPr>
      <w:rFonts w:asciiTheme="majorHAnsi" w:hAnsiTheme="majorHAnsi" w:cstheme="majorHAnsi"/>
      <w:sz w:val="28"/>
      <w:szCs w:val="20"/>
    </w:rPr>
  </w:style>
  <w:style w:type="paragraph" w:styleId="Heading3">
    <w:name w:val="heading 3"/>
    <w:basedOn w:val="Normal"/>
    <w:next w:val="Normal"/>
    <w:link w:val="Heading3Char"/>
    <w:uiPriority w:val="99"/>
    <w:qFormat/>
    <w:locked/>
    <w:rsid w:val="008470EE"/>
    <w:pPr>
      <w:keepNext/>
      <w:spacing w:before="240" w:after="60"/>
      <w:ind w:firstLine="0"/>
      <w:outlineLvl w:val="2"/>
    </w:pPr>
    <w:rPr>
      <w:rFonts w:asciiTheme="majorHAnsi" w:hAnsiTheme="majorHAnsi" w:cstheme="majorHAnsi"/>
      <w:szCs w:val="20"/>
    </w:rPr>
  </w:style>
  <w:style w:type="paragraph" w:styleId="Heading4">
    <w:name w:val="heading 4"/>
    <w:basedOn w:val="Normal"/>
    <w:next w:val="Normal"/>
    <w:link w:val="Heading4Char"/>
    <w:unhideWhenUsed/>
    <w:qFormat/>
    <w:locked/>
    <w:rsid w:val="008470EE"/>
    <w:pPr>
      <w:ind w:firstLine="0"/>
      <w:outlineLvl w:val="3"/>
    </w:pPr>
    <w:rPr>
      <w:i/>
      <w:sz w:val="16"/>
    </w:rPr>
  </w:style>
  <w:style w:type="paragraph" w:styleId="Heading7">
    <w:name w:val="heading 7"/>
    <w:basedOn w:val="Normal"/>
    <w:next w:val="Normal"/>
    <w:link w:val="Heading7Char"/>
    <w:uiPriority w:val="99"/>
    <w:qFormat/>
    <w:locked/>
    <w:rsid w:val="0089515F"/>
    <w:pPr>
      <w:keepNext/>
      <w:jc w:val="center"/>
      <w:outlineLvl w:val="6"/>
    </w:pPr>
    <w:rPr>
      <w:b/>
      <w:szCs w:val="20"/>
    </w:rPr>
  </w:style>
  <w:style w:type="paragraph" w:styleId="Heading8">
    <w:name w:val="heading 8"/>
    <w:basedOn w:val="Normal"/>
    <w:next w:val="Normal"/>
    <w:link w:val="Heading8Char"/>
    <w:uiPriority w:val="99"/>
    <w:qFormat/>
    <w:locked/>
    <w:rsid w:val="005F1A09"/>
    <w:pPr>
      <w:keepNext/>
      <w:keepLines/>
      <w:spacing w:before="200"/>
      <w:outlineLvl w:val="7"/>
    </w:pPr>
    <w:rPr>
      <w:rFonts w:ascii="Cambria" w:hAnsi="Cambria"/>
      <w:color w:val="404040"/>
      <w:szCs w:val="20"/>
    </w:rPr>
  </w:style>
  <w:style w:type="paragraph" w:styleId="Heading9">
    <w:name w:val="heading 9"/>
    <w:basedOn w:val="Normal"/>
    <w:next w:val="Normal"/>
    <w:link w:val="Heading9Char"/>
    <w:semiHidden/>
    <w:unhideWhenUsed/>
    <w:qFormat/>
    <w:locked/>
    <w:rsid w:val="00E37D19"/>
    <w:pPr>
      <w:keepNext/>
      <w:keepLines/>
      <w:spacing w:before="40"/>
      <w:outlineLvl w:val="8"/>
    </w:pPr>
    <w:rPr>
      <w:rFonts w:eastAsiaTheme="majorEastAsia"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1154ED"/>
    <w:rPr>
      <w:rFonts w:asciiTheme="majorHAnsi" w:hAnsiTheme="majorHAnsi" w:cstheme="majorHAnsi"/>
      <w:sz w:val="36"/>
      <w:szCs w:val="28"/>
    </w:rPr>
  </w:style>
  <w:style w:type="character" w:customStyle="1" w:styleId="Heading2Char">
    <w:name w:val="Heading 2 Char"/>
    <w:link w:val="Heading2"/>
    <w:uiPriority w:val="9"/>
    <w:locked/>
    <w:rsid w:val="001154ED"/>
    <w:rPr>
      <w:rFonts w:asciiTheme="majorHAnsi" w:hAnsiTheme="majorHAnsi" w:cstheme="majorHAnsi"/>
      <w:sz w:val="28"/>
      <w:lang w:eastAsia="ja-JP"/>
    </w:rPr>
  </w:style>
  <w:style w:type="character" w:customStyle="1" w:styleId="Heading3Char">
    <w:name w:val="Heading 3 Char"/>
    <w:link w:val="Heading3"/>
    <w:uiPriority w:val="99"/>
    <w:locked/>
    <w:rsid w:val="008470EE"/>
    <w:rPr>
      <w:rFonts w:asciiTheme="majorHAnsi" w:hAnsiTheme="majorHAnsi" w:cstheme="majorHAnsi"/>
      <w:lang w:eastAsia="ja-JP"/>
    </w:rPr>
  </w:style>
  <w:style w:type="character" w:customStyle="1" w:styleId="Heading7Char">
    <w:name w:val="Heading 7 Char"/>
    <w:link w:val="Heading7"/>
    <w:uiPriority w:val="99"/>
    <w:locked/>
    <w:rsid w:val="0089515F"/>
    <w:rPr>
      <w:rFonts w:ascii="Times New Roman" w:hAnsi="Times New Roman"/>
      <w:b/>
      <w:sz w:val="24"/>
    </w:rPr>
  </w:style>
  <w:style w:type="character" w:customStyle="1" w:styleId="Heading8Char">
    <w:name w:val="Heading 8 Char"/>
    <w:link w:val="Heading8"/>
    <w:uiPriority w:val="99"/>
    <w:locked/>
    <w:rsid w:val="005F1A09"/>
    <w:rPr>
      <w:rFonts w:ascii="Cambria" w:hAnsi="Cambria"/>
      <w:color w:val="404040"/>
    </w:rPr>
  </w:style>
  <w:style w:type="paragraph" w:styleId="BalloonText">
    <w:name w:val="Balloon Text"/>
    <w:basedOn w:val="Normal"/>
    <w:link w:val="BalloonTextChar"/>
    <w:uiPriority w:val="99"/>
    <w:semiHidden/>
    <w:rsid w:val="00EC2C61"/>
    <w:rPr>
      <w:rFonts w:ascii="Tahoma" w:hAnsi="Tahoma"/>
      <w:sz w:val="16"/>
      <w:szCs w:val="20"/>
    </w:rPr>
  </w:style>
  <w:style w:type="character" w:customStyle="1" w:styleId="BalloonTextChar">
    <w:name w:val="Balloon Text Char"/>
    <w:link w:val="BalloonText"/>
    <w:uiPriority w:val="99"/>
    <w:semiHidden/>
    <w:locked/>
    <w:rsid w:val="00EC2C61"/>
    <w:rPr>
      <w:rFonts w:ascii="Tahoma" w:hAnsi="Tahoma"/>
      <w:sz w:val="16"/>
    </w:rPr>
  </w:style>
  <w:style w:type="character" w:styleId="Hyperlink">
    <w:name w:val="Hyperlink"/>
    <w:uiPriority w:val="99"/>
    <w:rsid w:val="00483109"/>
    <w:rPr>
      <w:rFonts w:cs="Times New Roman"/>
      <w:color w:val="0563C1"/>
      <w:u w:val="single"/>
    </w:rPr>
  </w:style>
  <w:style w:type="character" w:styleId="PlaceholderText">
    <w:name w:val="Placeholder Text"/>
    <w:uiPriority w:val="99"/>
    <w:semiHidden/>
    <w:rsid w:val="00EC2C61"/>
    <w:rPr>
      <w:color w:val="808080"/>
    </w:rPr>
  </w:style>
  <w:style w:type="paragraph" w:styleId="Header">
    <w:name w:val="header"/>
    <w:basedOn w:val="Normal"/>
    <w:link w:val="HeaderChar"/>
    <w:uiPriority w:val="99"/>
    <w:rsid w:val="0017593D"/>
    <w:pPr>
      <w:tabs>
        <w:tab w:val="center" w:pos="4680"/>
        <w:tab w:val="right" w:pos="9360"/>
      </w:tabs>
    </w:pPr>
    <w:rPr>
      <w:rFonts w:ascii="Calibri" w:hAnsi="Calibri"/>
      <w:szCs w:val="20"/>
    </w:rPr>
  </w:style>
  <w:style w:type="character" w:customStyle="1" w:styleId="HeaderChar">
    <w:name w:val="Header Char"/>
    <w:basedOn w:val="DefaultParagraphFont"/>
    <w:link w:val="Header"/>
    <w:uiPriority w:val="99"/>
    <w:locked/>
    <w:rsid w:val="0017593D"/>
  </w:style>
  <w:style w:type="paragraph" w:styleId="Footer">
    <w:name w:val="footer"/>
    <w:basedOn w:val="Normal"/>
    <w:link w:val="FooterChar"/>
    <w:uiPriority w:val="99"/>
    <w:rsid w:val="008470EE"/>
    <w:pPr>
      <w:tabs>
        <w:tab w:val="right" w:pos="9360"/>
      </w:tabs>
      <w:spacing w:line="240" w:lineRule="auto"/>
      <w:ind w:firstLine="0"/>
      <w:jc w:val="right"/>
    </w:pPr>
    <w:rPr>
      <w:rFonts w:asciiTheme="minorHAnsi" w:hAnsiTheme="minorHAnsi"/>
      <w:sz w:val="16"/>
      <w:szCs w:val="20"/>
    </w:rPr>
  </w:style>
  <w:style w:type="character" w:customStyle="1" w:styleId="FooterChar">
    <w:name w:val="Footer Char"/>
    <w:basedOn w:val="DefaultParagraphFont"/>
    <w:link w:val="Footer"/>
    <w:uiPriority w:val="99"/>
    <w:locked/>
    <w:rsid w:val="008470EE"/>
    <w:rPr>
      <w:rFonts w:asciiTheme="minorHAnsi" w:hAnsiTheme="minorHAnsi"/>
      <w:sz w:val="16"/>
      <w:lang w:eastAsia="ja-JP"/>
    </w:rPr>
  </w:style>
  <w:style w:type="character" w:styleId="CommentReference">
    <w:name w:val="annotation reference"/>
    <w:uiPriority w:val="99"/>
    <w:semiHidden/>
    <w:rsid w:val="00C76279"/>
    <w:rPr>
      <w:rFonts w:cs="Times New Roman"/>
      <w:sz w:val="16"/>
    </w:rPr>
  </w:style>
  <w:style w:type="paragraph" w:styleId="CommentText">
    <w:name w:val="annotation text"/>
    <w:basedOn w:val="Normal"/>
    <w:link w:val="CommentTextChar"/>
    <w:uiPriority w:val="99"/>
    <w:rsid w:val="00C76279"/>
    <w:rPr>
      <w:szCs w:val="20"/>
    </w:rPr>
  </w:style>
  <w:style w:type="character" w:customStyle="1" w:styleId="CommentTextChar">
    <w:name w:val="Comment Text Char"/>
    <w:link w:val="CommentText"/>
    <w:uiPriority w:val="99"/>
    <w:locked/>
    <w:rsid w:val="00C76279"/>
    <w:rPr>
      <w:rFonts w:ascii="Times New Roman" w:hAnsi="Times New Roman"/>
      <w:sz w:val="20"/>
    </w:rPr>
  </w:style>
  <w:style w:type="paragraph" w:customStyle="1" w:styleId="Textstyle">
    <w:name w:val="Textstyle"/>
    <w:basedOn w:val="Normal"/>
    <w:uiPriority w:val="99"/>
    <w:rsid w:val="0089515F"/>
    <w:pPr>
      <w:ind w:firstLine="720"/>
    </w:pPr>
    <w:rPr>
      <w:rFonts w:eastAsia="Times New Roman"/>
      <w:szCs w:val="20"/>
    </w:rPr>
  </w:style>
  <w:style w:type="paragraph" w:styleId="FootnoteText">
    <w:name w:val="footnote text"/>
    <w:basedOn w:val="Normal"/>
    <w:link w:val="FootnoteTextChar"/>
    <w:uiPriority w:val="99"/>
    <w:rsid w:val="001D261B"/>
    <w:pPr>
      <w:keepLines/>
      <w:spacing w:after="60" w:line="240" w:lineRule="auto"/>
      <w:ind w:left="288" w:firstLine="0"/>
    </w:pPr>
    <w:rPr>
      <w:szCs w:val="20"/>
    </w:rPr>
  </w:style>
  <w:style w:type="character" w:customStyle="1" w:styleId="FootnoteTextChar">
    <w:name w:val="Footnote Text Char"/>
    <w:link w:val="FootnoteText"/>
    <w:uiPriority w:val="99"/>
    <w:locked/>
    <w:rsid w:val="001D261B"/>
    <w:rPr>
      <w:rFonts w:ascii="Segoe UI" w:hAnsi="Segoe UI"/>
      <w:lang w:eastAsia="ja-JP"/>
    </w:rPr>
  </w:style>
  <w:style w:type="character" w:styleId="FootnoteReference">
    <w:name w:val="footnote reference"/>
    <w:uiPriority w:val="99"/>
    <w:rsid w:val="0012676E"/>
    <w:rPr>
      <w:rFonts w:cs="Times New Roman"/>
      <w:vertAlign w:val="superscript"/>
    </w:rPr>
  </w:style>
  <w:style w:type="character" w:customStyle="1" w:styleId="slug-vol">
    <w:name w:val="slug-vol"/>
    <w:uiPriority w:val="99"/>
    <w:rsid w:val="0012676E"/>
  </w:style>
  <w:style w:type="character" w:customStyle="1" w:styleId="slug-issue">
    <w:name w:val="slug-issue"/>
    <w:uiPriority w:val="99"/>
    <w:rsid w:val="0012676E"/>
  </w:style>
  <w:style w:type="character" w:customStyle="1" w:styleId="slug-pages">
    <w:name w:val="slug-pages"/>
    <w:uiPriority w:val="99"/>
    <w:rsid w:val="0012676E"/>
  </w:style>
  <w:style w:type="paragraph" w:styleId="BodyText">
    <w:name w:val="Body Text"/>
    <w:basedOn w:val="Normal"/>
    <w:link w:val="BodyTextChar"/>
    <w:uiPriority w:val="99"/>
    <w:rsid w:val="006226AE"/>
    <w:rPr>
      <w:szCs w:val="20"/>
      <w:lang w:val="en-GB"/>
    </w:rPr>
  </w:style>
  <w:style w:type="character" w:customStyle="1" w:styleId="BodyTextChar">
    <w:name w:val="Body Text Char"/>
    <w:link w:val="BodyText"/>
    <w:uiPriority w:val="99"/>
    <w:locked/>
    <w:rsid w:val="006226AE"/>
    <w:rPr>
      <w:rFonts w:ascii="Times New Roman" w:hAnsi="Times New Roman"/>
      <w:sz w:val="24"/>
      <w:lang w:val="en-GB" w:eastAsia="ja-JP"/>
    </w:rPr>
  </w:style>
  <w:style w:type="paragraph" w:styleId="CommentSubject">
    <w:name w:val="annotation subject"/>
    <w:basedOn w:val="CommentText"/>
    <w:next w:val="CommentText"/>
    <w:link w:val="CommentSubjectChar"/>
    <w:uiPriority w:val="99"/>
    <w:semiHidden/>
    <w:rsid w:val="002271FC"/>
    <w:pPr>
      <w:spacing w:after="160" w:line="259" w:lineRule="auto"/>
    </w:pPr>
    <w:rPr>
      <w:b/>
    </w:rPr>
  </w:style>
  <w:style w:type="character" w:customStyle="1" w:styleId="CommentSubjectChar">
    <w:name w:val="Comment Subject Char"/>
    <w:link w:val="CommentSubject"/>
    <w:uiPriority w:val="99"/>
    <w:semiHidden/>
    <w:locked/>
    <w:rsid w:val="002271FC"/>
    <w:rPr>
      <w:rFonts w:ascii="Times New Roman" w:hAnsi="Times New Roman"/>
      <w:b/>
      <w:sz w:val="20"/>
    </w:rPr>
  </w:style>
  <w:style w:type="paragraph" w:customStyle="1" w:styleId="MTDisplayEquation">
    <w:name w:val="MTDisplayEquation"/>
    <w:basedOn w:val="Normal"/>
    <w:next w:val="Normal"/>
    <w:link w:val="MTDisplayEquationChar"/>
    <w:uiPriority w:val="99"/>
    <w:rsid w:val="003570F5"/>
    <w:pPr>
      <w:tabs>
        <w:tab w:val="center" w:pos="4680"/>
        <w:tab w:val="right" w:pos="9360"/>
      </w:tabs>
    </w:pPr>
    <w:rPr>
      <w:szCs w:val="20"/>
    </w:rPr>
  </w:style>
  <w:style w:type="character" w:customStyle="1" w:styleId="MTDisplayEquationChar">
    <w:name w:val="MTDisplayEquation Char"/>
    <w:link w:val="MTDisplayEquation"/>
    <w:uiPriority w:val="99"/>
    <w:locked/>
    <w:rsid w:val="003570F5"/>
    <w:rPr>
      <w:rFonts w:ascii="Times New Roman" w:hAnsi="Times New Roman"/>
      <w:sz w:val="24"/>
    </w:rPr>
  </w:style>
  <w:style w:type="character" w:styleId="Emphasis">
    <w:name w:val="Emphasis"/>
    <w:uiPriority w:val="99"/>
    <w:qFormat/>
    <w:locked/>
    <w:rsid w:val="007256E2"/>
    <w:rPr>
      <w:rFonts w:cs="Times New Roman"/>
      <w:i/>
    </w:rPr>
  </w:style>
  <w:style w:type="character" w:customStyle="1" w:styleId="apple-converted-space">
    <w:name w:val="apple-converted-space"/>
    <w:uiPriority w:val="99"/>
    <w:rsid w:val="00047A55"/>
  </w:style>
  <w:style w:type="paragraph" w:styleId="ListParagraph">
    <w:name w:val="List Paragraph"/>
    <w:basedOn w:val="Normal"/>
    <w:uiPriority w:val="34"/>
    <w:qFormat/>
    <w:rsid w:val="00923E0B"/>
    <w:pPr>
      <w:ind w:left="720"/>
    </w:pPr>
  </w:style>
  <w:style w:type="character" w:styleId="FollowedHyperlink">
    <w:name w:val="FollowedHyperlink"/>
    <w:uiPriority w:val="99"/>
    <w:rsid w:val="00E71246"/>
    <w:rPr>
      <w:rFonts w:cs="Times New Roman"/>
      <w:color w:val="800080"/>
      <w:u w:val="single"/>
    </w:rPr>
  </w:style>
  <w:style w:type="character" w:styleId="PageNumber">
    <w:name w:val="page number"/>
    <w:uiPriority w:val="99"/>
    <w:rsid w:val="00824AE7"/>
    <w:rPr>
      <w:rFonts w:cs="Times New Roman"/>
    </w:rPr>
  </w:style>
  <w:style w:type="paragraph" w:styleId="Revision">
    <w:name w:val="Revision"/>
    <w:hidden/>
    <w:uiPriority w:val="99"/>
    <w:semiHidden/>
    <w:rsid w:val="001724D4"/>
    <w:rPr>
      <w:rFonts w:ascii="Times New Roman" w:hAnsi="Times New Roman"/>
      <w:sz w:val="24"/>
      <w:szCs w:val="22"/>
    </w:rPr>
  </w:style>
  <w:style w:type="character" w:styleId="Strong">
    <w:name w:val="Strong"/>
    <w:basedOn w:val="DefaultParagraphFont"/>
    <w:uiPriority w:val="22"/>
    <w:qFormat/>
    <w:locked/>
    <w:rsid w:val="00E37D19"/>
    <w:rPr>
      <w:rFonts w:ascii="Segoe UI" w:hAnsi="Segoe UI"/>
      <w:b/>
      <w:bCs/>
    </w:rPr>
  </w:style>
  <w:style w:type="paragraph" w:styleId="Subtitle">
    <w:name w:val="Subtitle"/>
    <w:basedOn w:val="Normal"/>
    <w:next w:val="Normal"/>
    <w:link w:val="SubtitleChar"/>
    <w:qFormat/>
    <w:locked/>
    <w:rsid w:val="00E37D19"/>
    <w:pPr>
      <w:numPr>
        <w:ilvl w:val="1"/>
      </w:numPr>
      <w:spacing w:after="160"/>
      <w:ind w:firstLine="360"/>
    </w:pPr>
    <w:rPr>
      <w:rFonts w:eastAsiaTheme="minorEastAsia" w:cstheme="minorBidi"/>
      <w:color w:val="5A5A5A" w:themeColor="text1" w:themeTint="A5"/>
      <w:spacing w:val="15"/>
      <w:sz w:val="22"/>
    </w:rPr>
  </w:style>
  <w:style w:type="character" w:customStyle="1" w:styleId="SubtitleChar">
    <w:name w:val="Subtitle Char"/>
    <w:basedOn w:val="DefaultParagraphFont"/>
    <w:link w:val="Subtitle"/>
    <w:rsid w:val="00E37D19"/>
    <w:rPr>
      <w:rFonts w:ascii="Segoe UI" w:eastAsiaTheme="minorEastAsia" w:hAnsi="Segoe UI" w:cstheme="minorBidi"/>
      <w:color w:val="5A5A5A" w:themeColor="text1" w:themeTint="A5"/>
      <w:spacing w:val="15"/>
      <w:sz w:val="22"/>
      <w:szCs w:val="22"/>
    </w:rPr>
  </w:style>
  <w:style w:type="paragraph" w:styleId="Title">
    <w:name w:val="Title"/>
    <w:basedOn w:val="Normal"/>
    <w:next w:val="Normal"/>
    <w:link w:val="TitleChar"/>
    <w:qFormat/>
    <w:locked/>
    <w:rsid w:val="001154ED"/>
    <w:pPr>
      <w:contextualSpacing/>
      <w:jc w:val="center"/>
    </w:pPr>
    <w:rPr>
      <w:rFonts w:eastAsiaTheme="majorEastAsia" w:cstheme="majorBidi"/>
      <w:spacing w:val="-10"/>
      <w:kern w:val="28"/>
      <w:sz w:val="48"/>
      <w:szCs w:val="56"/>
    </w:rPr>
  </w:style>
  <w:style w:type="character" w:customStyle="1" w:styleId="TitleChar">
    <w:name w:val="Title Char"/>
    <w:basedOn w:val="DefaultParagraphFont"/>
    <w:link w:val="Title"/>
    <w:rsid w:val="001154ED"/>
    <w:rPr>
      <w:rFonts w:ascii="Segoe UI" w:eastAsiaTheme="majorEastAsia" w:hAnsi="Segoe UI" w:cstheme="majorBidi"/>
      <w:spacing w:val="-10"/>
      <w:kern w:val="28"/>
      <w:sz w:val="48"/>
      <w:szCs w:val="56"/>
      <w:lang w:eastAsia="ja-JP"/>
    </w:rPr>
  </w:style>
  <w:style w:type="paragraph" w:styleId="NoSpacing">
    <w:name w:val="No Spacing"/>
    <w:uiPriority w:val="1"/>
    <w:qFormat/>
    <w:rsid w:val="00E37D19"/>
    <w:pPr>
      <w:ind w:firstLine="360"/>
    </w:pPr>
    <w:rPr>
      <w:rFonts w:ascii="Segoe UI" w:hAnsi="Segoe UI"/>
      <w:sz w:val="24"/>
      <w:szCs w:val="22"/>
    </w:rPr>
  </w:style>
  <w:style w:type="character" w:customStyle="1" w:styleId="Heading9Char">
    <w:name w:val="Heading 9 Char"/>
    <w:basedOn w:val="DefaultParagraphFont"/>
    <w:link w:val="Heading9"/>
    <w:semiHidden/>
    <w:rsid w:val="00E37D19"/>
    <w:rPr>
      <w:rFonts w:ascii="Segoe UI" w:eastAsiaTheme="majorEastAsia" w:hAnsi="Segoe UI" w:cstheme="majorBidi"/>
      <w:i/>
      <w:iCs/>
      <w:color w:val="272727" w:themeColor="text1" w:themeTint="D8"/>
      <w:sz w:val="21"/>
      <w:szCs w:val="21"/>
    </w:rPr>
  </w:style>
  <w:style w:type="character" w:customStyle="1" w:styleId="Heading4Char">
    <w:name w:val="Heading 4 Char"/>
    <w:basedOn w:val="DefaultParagraphFont"/>
    <w:link w:val="Heading4"/>
    <w:rsid w:val="008470EE"/>
    <w:rPr>
      <w:rFonts w:ascii="Segoe UI" w:hAnsi="Segoe UI"/>
      <w:i/>
      <w:sz w:val="16"/>
      <w:szCs w:val="22"/>
      <w:lang w:eastAsia="ja-JP"/>
    </w:rPr>
  </w:style>
  <w:style w:type="paragraph" w:customStyle="1" w:styleId="Subtitle1">
    <w:name w:val="Subtitle1"/>
    <w:basedOn w:val="Normal"/>
    <w:link w:val="SubTitleChar0"/>
    <w:qFormat/>
    <w:rsid w:val="001154ED"/>
    <w:pPr>
      <w:jc w:val="center"/>
    </w:pPr>
    <w:rPr>
      <w:rFonts w:asciiTheme="minorHAnsi" w:hAnsiTheme="minorHAnsi" w:cstheme="majorHAnsi"/>
      <w:sz w:val="28"/>
      <w:szCs w:val="28"/>
    </w:rPr>
  </w:style>
  <w:style w:type="paragraph" w:customStyle="1" w:styleId="Disclaimer">
    <w:name w:val="Disclaimer"/>
    <w:basedOn w:val="Normal"/>
    <w:link w:val="DisclaimerChar"/>
    <w:qFormat/>
    <w:rsid w:val="001154ED"/>
    <w:pPr>
      <w:spacing w:line="240" w:lineRule="auto"/>
      <w:ind w:firstLine="0"/>
    </w:pPr>
    <w:rPr>
      <w:szCs w:val="20"/>
    </w:rPr>
  </w:style>
  <w:style w:type="character" w:customStyle="1" w:styleId="SubTitleChar0">
    <w:name w:val="SubTitle Char"/>
    <w:basedOn w:val="DefaultParagraphFont"/>
    <w:link w:val="Subtitle1"/>
    <w:rsid w:val="001154ED"/>
    <w:rPr>
      <w:rFonts w:asciiTheme="minorHAnsi" w:hAnsiTheme="minorHAnsi" w:cstheme="majorHAnsi"/>
      <w:sz w:val="28"/>
      <w:szCs w:val="28"/>
      <w:lang w:eastAsia="ja-JP"/>
    </w:rPr>
  </w:style>
  <w:style w:type="paragraph" w:customStyle="1" w:styleId="PreTitle">
    <w:name w:val="PreTitle"/>
    <w:basedOn w:val="Normal"/>
    <w:link w:val="PreTitleChar"/>
    <w:qFormat/>
    <w:rsid w:val="001154ED"/>
    <w:pPr>
      <w:ind w:left="360" w:firstLine="0"/>
    </w:pPr>
    <w:rPr>
      <w:rFonts w:asciiTheme="majorHAnsi" w:hAnsiTheme="majorHAnsi" w:cstheme="majorHAnsi"/>
    </w:rPr>
  </w:style>
  <w:style w:type="character" w:customStyle="1" w:styleId="DisclaimerChar">
    <w:name w:val="Disclaimer Char"/>
    <w:basedOn w:val="DefaultParagraphFont"/>
    <w:link w:val="Disclaimer"/>
    <w:rsid w:val="001154ED"/>
    <w:rPr>
      <w:rFonts w:ascii="Segoe UI" w:hAnsi="Segoe UI"/>
      <w:lang w:eastAsia="ja-JP"/>
    </w:rPr>
  </w:style>
  <w:style w:type="paragraph" w:customStyle="1" w:styleId="CenteredTitle1">
    <w:name w:val="Centered Title 1"/>
    <w:basedOn w:val="Heading1"/>
    <w:link w:val="CenteredTitle1Char"/>
    <w:qFormat/>
    <w:rsid w:val="001D261B"/>
    <w:pPr>
      <w:jc w:val="center"/>
    </w:pPr>
  </w:style>
  <w:style w:type="character" w:customStyle="1" w:styleId="PreTitleChar">
    <w:name w:val="PreTitle Char"/>
    <w:basedOn w:val="DefaultParagraphFont"/>
    <w:link w:val="PreTitle"/>
    <w:rsid w:val="001154ED"/>
    <w:rPr>
      <w:rFonts w:asciiTheme="majorHAnsi" w:hAnsiTheme="majorHAnsi" w:cstheme="majorHAnsi"/>
      <w:szCs w:val="22"/>
      <w:lang w:eastAsia="ja-JP"/>
    </w:rPr>
  </w:style>
  <w:style w:type="paragraph" w:customStyle="1" w:styleId="CenteredSubtitle">
    <w:name w:val="Centered Subtitle"/>
    <w:basedOn w:val="Heading1"/>
    <w:link w:val="CenteredSubtitleChar"/>
    <w:qFormat/>
    <w:rsid w:val="001D261B"/>
    <w:pPr>
      <w:jc w:val="center"/>
    </w:pPr>
    <w:rPr>
      <w:rFonts w:asciiTheme="minorHAnsi" w:hAnsiTheme="minorHAnsi" w:cstheme="minorHAnsi"/>
      <w:sz w:val="28"/>
    </w:rPr>
  </w:style>
  <w:style w:type="character" w:customStyle="1" w:styleId="CenteredTitle1Char">
    <w:name w:val="Centered Title 1 Char"/>
    <w:basedOn w:val="Heading1Char"/>
    <w:link w:val="CenteredTitle1"/>
    <w:rsid w:val="001D261B"/>
    <w:rPr>
      <w:rFonts w:asciiTheme="majorHAnsi" w:hAnsiTheme="majorHAnsi" w:cstheme="majorHAnsi"/>
      <w:sz w:val="36"/>
      <w:szCs w:val="28"/>
      <w:lang w:eastAsia="ja-JP"/>
    </w:rPr>
  </w:style>
  <w:style w:type="paragraph" w:customStyle="1" w:styleId="FootnoteStyle">
    <w:name w:val="Footnote Style"/>
    <w:basedOn w:val="FootnoteText"/>
    <w:link w:val="FootnoteStyleChar"/>
    <w:rsid w:val="001D261B"/>
    <w:pPr>
      <w:spacing w:after="120"/>
    </w:pPr>
    <w:rPr>
      <w:sz w:val="16"/>
    </w:rPr>
  </w:style>
  <w:style w:type="character" w:customStyle="1" w:styleId="CenteredSubtitleChar">
    <w:name w:val="Centered Subtitle Char"/>
    <w:basedOn w:val="Heading1Char"/>
    <w:link w:val="CenteredSubtitle"/>
    <w:rsid w:val="001D261B"/>
    <w:rPr>
      <w:rFonts w:asciiTheme="minorHAnsi" w:hAnsiTheme="minorHAnsi" w:cstheme="minorHAnsi"/>
      <w:sz w:val="28"/>
      <w:szCs w:val="28"/>
      <w:lang w:eastAsia="ja-JP"/>
    </w:rPr>
  </w:style>
  <w:style w:type="paragraph" w:styleId="EndnoteText">
    <w:name w:val="endnote text"/>
    <w:basedOn w:val="Normal"/>
    <w:link w:val="EndnoteTextChar"/>
    <w:uiPriority w:val="99"/>
    <w:semiHidden/>
    <w:unhideWhenUsed/>
    <w:rsid w:val="001D261B"/>
    <w:pPr>
      <w:spacing w:line="240" w:lineRule="auto"/>
    </w:pPr>
    <w:rPr>
      <w:szCs w:val="20"/>
    </w:rPr>
  </w:style>
  <w:style w:type="character" w:customStyle="1" w:styleId="FootnoteStyleChar">
    <w:name w:val="Footnote Style Char"/>
    <w:basedOn w:val="FootnoteTextChar"/>
    <w:link w:val="FootnoteStyle"/>
    <w:rsid w:val="001D261B"/>
    <w:rPr>
      <w:rFonts w:ascii="Segoe UI" w:hAnsi="Segoe UI"/>
      <w:sz w:val="16"/>
      <w:lang w:eastAsia="ja-JP"/>
    </w:rPr>
  </w:style>
  <w:style w:type="character" w:customStyle="1" w:styleId="EndnoteTextChar">
    <w:name w:val="Endnote Text Char"/>
    <w:basedOn w:val="DefaultParagraphFont"/>
    <w:link w:val="EndnoteText"/>
    <w:uiPriority w:val="99"/>
    <w:semiHidden/>
    <w:rsid w:val="001D261B"/>
    <w:rPr>
      <w:rFonts w:ascii="Segoe UI" w:hAnsi="Segoe UI"/>
      <w:lang w:eastAsia="ja-JP"/>
    </w:rPr>
  </w:style>
  <w:style w:type="character" w:styleId="EndnoteReference">
    <w:name w:val="endnote reference"/>
    <w:basedOn w:val="DefaultParagraphFont"/>
    <w:uiPriority w:val="99"/>
    <w:semiHidden/>
    <w:unhideWhenUsed/>
    <w:rsid w:val="001D261B"/>
    <w:rPr>
      <w:vertAlign w:val="superscript"/>
    </w:rPr>
  </w:style>
  <w:style w:type="paragraph" w:styleId="NormalWeb">
    <w:name w:val="Normal (Web)"/>
    <w:basedOn w:val="Normal"/>
    <w:uiPriority w:val="99"/>
    <w:unhideWhenUsed/>
    <w:rsid w:val="00D7189A"/>
    <w:pPr>
      <w:spacing w:before="100" w:beforeAutospacing="1" w:after="100" w:afterAutospacing="1" w:line="240" w:lineRule="auto"/>
      <w:ind w:firstLine="0"/>
    </w:pPr>
    <w:rPr>
      <w:rFonts w:ascii="Times New Roman" w:eastAsia="Times New Roman" w:hAnsi="Times New Roman"/>
      <w:sz w:val="24"/>
      <w:szCs w:val="24"/>
      <w:lang w:eastAsia="zh-CN"/>
    </w:rPr>
  </w:style>
  <w:style w:type="numbering" w:customStyle="1" w:styleId="NoList1">
    <w:name w:val="No List1"/>
    <w:next w:val="NoList"/>
    <w:uiPriority w:val="99"/>
    <w:semiHidden/>
    <w:unhideWhenUsed/>
    <w:rsid w:val="00D33A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223549">
      <w:marLeft w:val="0"/>
      <w:marRight w:val="0"/>
      <w:marTop w:val="0"/>
      <w:marBottom w:val="0"/>
      <w:divBdr>
        <w:top w:val="none" w:sz="0" w:space="0" w:color="auto"/>
        <w:left w:val="none" w:sz="0" w:space="0" w:color="auto"/>
        <w:bottom w:val="none" w:sz="0" w:space="0" w:color="auto"/>
        <w:right w:val="none" w:sz="0" w:space="0" w:color="auto"/>
      </w:divBdr>
      <w:divsChild>
        <w:div w:id="169223685">
          <w:marLeft w:val="0"/>
          <w:marRight w:val="0"/>
          <w:marTop w:val="0"/>
          <w:marBottom w:val="0"/>
          <w:divBdr>
            <w:top w:val="none" w:sz="0" w:space="0" w:color="auto"/>
            <w:left w:val="none" w:sz="0" w:space="0" w:color="auto"/>
            <w:bottom w:val="none" w:sz="0" w:space="0" w:color="auto"/>
            <w:right w:val="none" w:sz="0" w:space="0" w:color="auto"/>
          </w:divBdr>
          <w:divsChild>
            <w:div w:id="16922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23551">
      <w:marLeft w:val="0"/>
      <w:marRight w:val="0"/>
      <w:marTop w:val="0"/>
      <w:marBottom w:val="0"/>
      <w:divBdr>
        <w:top w:val="none" w:sz="0" w:space="0" w:color="auto"/>
        <w:left w:val="none" w:sz="0" w:space="0" w:color="auto"/>
        <w:bottom w:val="none" w:sz="0" w:space="0" w:color="auto"/>
        <w:right w:val="none" w:sz="0" w:space="0" w:color="auto"/>
      </w:divBdr>
    </w:div>
    <w:div w:id="169223552">
      <w:marLeft w:val="0"/>
      <w:marRight w:val="0"/>
      <w:marTop w:val="0"/>
      <w:marBottom w:val="0"/>
      <w:divBdr>
        <w:top w:val="none" w:sz="0" w:space="0" w:color="auto"/>
        <w:left w:val="none" w:sz="0" w:space="0" w:color="auto"/>
        <w:bottom w:val="none" w:sz="0" w:space="0" w:color="auto"/>
        <w:right w:val="none" w:sz="0" w:space="0" w:color="auto"/>
      </w:divBdr>
    </w:div>
    <w:div w:id="169223553">
      <w:marLeft w:val="0"/>
      <w:marRight w:val="0"/>
      <w:marTop w:val="0"/>
      <w:marBottom w:val="0"/>
      <w:divBdr>
        <w:top w:val="none" w:sz="0" w:space="0" w:color="auto"/>
        <w:left w:val="none" w:sz="0" w:space="0" w:color="auto"/>
        <w:bottom w:val="none" w:sz="0" w:space="0" w:color="auto"/>
        <w:right w:val="none" w:sz="0" w:space="0" w:color="auto"/>
      </w:divBdr>
    </w:div>
    <w:div w:id="169223554">
      <w:marLeft w:val="0"/>
      <w:marRight w:val="0"/>
      <w:marTop w:val="0"/>
      <w:marBottom w:val="0"/>
      <w:divBdr>
        <w:top w:val="none" w:sz="0" w:space="0" w:color="auto"/>
        <w:left w:val="none" w:sz="0" w:space="0" w:color="auto"/>
        <w:bottom w:val="none" w:sz="0" w:space="0" w:color="auto"/>
        <w:right w:val="none" w:sz="0" w:space="0" w:color="auto"/>
      </w:divBdr>
    </w:div>
    <w:div w:id="169223555">
      <w:marLeft w:val="0"/>
      <w:marRight w:val="0"/>
      <w:marTop w:val="0"/>
      <w:marBottom w:val="0"/>
      <w:divBdr>
        <w:top w:val="none" w:sz="0" w:space="0" w:color="auto"/>
        <w:left w:val="none" w:sz="0" w:space="0" w:color="auto"/>
        <w:bottom w:val="none" w:sz="0" w:space="0" w:color="auto"/>
        <w:right w:val="none" w:sz="0" w:space="0" w:color="auto"/>
      </w:divBdr>
    </w:div>
    <w:div w:id="169223556">
      <w:marLeft w:val="0"/>
      <w:marRight w:val="0"/>
      <w:marTop w:val="0"/>
      <w:marBottom w:val="0"/>
      <w:divBdr>
        <w:top w:val="none" w:sz="0" w:space="0" w:color="auto"/>
        <w:left w:val="none" w:sz="0" w:space="0" w:color="auto"/>
        <w:bottom w:val="none" w:sz="0" w:space="0" w:color="auto"/>
        <w:right w:val="none" w:sz="0" w:space="0" w:color="auto"/>
      </w:divBdr>
    </w:div>
    <w:div w:id="169223557">
      <w:marLeft w:val="0"/>
      <w:marRight w:val="0"/>
      <w:marTop w:val="0"/>
      <w:marBottom w:val="0"/>
      <w:divBdr>
        <w:top w:val="none" w:sz="0" w:space="0" w:color="auto"/>
        <w:left w:val="none" w:sz="0" w:space="0" w:color="auto"/>
        <w:bottom w:val="none" w:sz="0" w:space="0" w:color="auto"/>
        <w:right w:val="none" w:sz="0" w:space="0" w:color="auto"/>
      </w:divBdr>
    </w:div>
    <w:div w:id="169223558">
      <w:marLeft w:val="0"/>
      <w:marRight w:val="0"/>
      <w:marTop w:val="0"/>
      <w:marBottom w:val="0"/>
      <w:divBdr>
        <w:top w:val="none" w:sz="0" w:space="0" w:color="auto"/>
        <w:left w:val="none" w:sz="0" w:space="0" w:color="auto"/>
        <w:bottom w:val="none" w:sz="0" w:space="0" w:color="auto"/>
        <w:right w:val="none" w:sz="0" w:space="0" w:color="auto"/>
      </w:divBdr>
    </w:div>
    <w:div w:id="169223559">
      <w:marLeft w:val="0"/>
      <w:marRight w:val="0"/>
      <w:marTop w:val="0"/>
      <w:marBottom w:val="0"/>
      <w:divBdr>
        <w:top w:val="none" w:sz="0" w:space="0" w:color="auto"/>
        <w:left w:val="none" w:sz="0" w:space="0" w:color="auto"/>
        <w:bottom w:val="none" w:sz="0" w:space="0" w:color="auto"/>
        <w:right w:val="none" w:sz="0" w:space="0" w:color="auto"/>
      </w:divBdr>
    </w:div>
    <w:div w:id="169223560">
      <w:marLeft w:val="0"/>
      <w:marRight w:val="0"/>
      <w:marTop w:val="0"/>
      <w:marBottom w:val="0"/>
      <w:divBdr>
        <w:top w:val="none" w:sz="0" w:space="0" w:color="auto"/>
        <w:left w:val="none" w:sz="0" w:space="0" w:color="auto"/>
        <w:bottom w:val="none" w:sz="0" w:space="0" w:color="auto"/>
        <w:right w:val="none" w:sz="0" w:space="0" w:color="auto"/>
      </w:divBdr>
    </w:div>
    <w:div w:id="169223561">
      <w:marLeft w:val="0"/>
      <w:marRight w:val="0"/>
      <w:marTop w:val="0"/>
      <w:marBottom w:val="0"/>
      <w:divBdr>
        <w:top w:val="none" w:sz="0" w:space="0" w:color="auto"/>
        <w:left w:val="none" w:sz="0" w:space="0" w:color="auto"/>
        <w:bottom w:val="none" w:sz="0" w:space="0" w:color="auto"/>
        <w:right w:val="none" w:sz="0" w:space="0" w:color="auto"/>
      </w:divBdr>
      <w:divsChild>
        <w:div w:id="169223655">
          <w:marLeft w:val="0"/>
          <w:marRight w:val="0"/>
          <w:marTop w:val="0"/>
          <w:marBottom w:val="0"/>
          <w:divBdr>
            <w:top w:val="none" w:sz="0" w:space="0" w:color="auto"/>
            <w:left w:val="none" w:sz="0" w:space="0" w:color="auto"/>
            <w:bottom w:val="none" w:sz="0" w:space="0" w:color="auto"/>
            <w:right w:val="none" w:sz="0" w:space="0" w:color="auto"/>
          </w:divBdr>
        </w:div>
      </w:divsChild>
    </w:div>
    <w:div w:id="169223562">
      <w:marLeft w:val="0"/>
      <w:marRight w:val="0"/>
      <w:marTop w:val="0"/>
      <w:marBottom w:val="0"/>
      <w:divBdr>
        <w:top w:val="none" w:sz="0" w:space="0" w:color="auto"/>
        <w:left w:val="none" w:sz="0" w:space="0" w:color="auto"/>
        <w:bottom w:val="none" w:sz="0" w:space="0" w:color="auto"/>
        <w:right w:val="none" w:sz="0" w:space="0" w:color="auto"/>
      </w:divBdr>
    </w:div>
    <w:div w:id="169223563">
      <w:marLeft w:val="0"/>
      <w:marRight w:val="0"/>
      <w:marTop w:val="0"/>
      <w:marBottom w:val="0"/>
      <w:divBdr>
        <w:top w:val="none" w:sz="0" w:space="0" w:color="auto"/>
        <w:left w:val="none" w:sz="0" w:space="0" w:color="auto"/>
        <w:bottom w:val="none" w:sz="0" w:space="0" w:color="auto"/>
        <w:right w:val="none" w:sz="0" w:space="0" w:color="auto"/>
      </w:divBdr>
    </w:div>
    <w:div w:id="169223564">
      <w:marLeft w:val="0"/>
      <w:marRight w:val="0"/>
      <w:marTop w:val="0"/>
      <w:marBottom w:val="0"/>
      <w:divBdr>
        <w:top w:val="none" w:sz="0" w:space="0" w:color="auto"/>
        <w:left w:val="none" w:sz="0" w:space="0" w:color="auto"/>
        <w:bottom w:val="none" w:sz="0" w:space="0" w:color="auto"/>
        <w:right w:val="none" w:sz="0" w:space="0" w:color="auto"/>
      </w:divBdr>
    </w:div>
    <w:div w:id="169223565">
      <w:marLeft w:val="0"/>
      <w:marRight w:val="0"/>
      <w:marTop w:val="0"/>
      <w:marBottom w:val="0"/>
      <w:divBdr>
        <w:top w:val="none" w:sz="0" w:space="0" w:color="auto"/>
        <w:left w:val="none" w:sz="0" w:space="0" w:color="auto"/>
        <w:bottom w:val="none" w:sz="0" w:space="0" w:color="auto"/>
        <w:right w:val="none" w:sz="0" w:space="0" w:color="auto"/>
      </w:divBdr>
    </w:div>
    <w:div w:id="169223566">
      <w:marLeft w:val="0"/>
      <w:marRight w:val="0"/>
      <w:marTop w:val="0"/>
      <w:marBottom w:val="0"/>
      <w:divBdr>
        <w:top w:val="none" w:sz="0" w:space="0" w:color="auto"/>
        <w:left w:val="none" w:sz="0" w:space="0" w:color="auto"/>
        <w:bottom w:val="none" w:sz="0" w:space="0" w:color="auto"/>
        <w:right w:val="none" w:sz="0" w:space="0" w:color="auto"/>
      </w:divBdr>
    </w:div>
    <w:div w:id="169223567">
      <w:marLeft w:val="0"/>
      <w:marRight w:val="0"/>
      <w:marTop w:val="0"/>
      <w:marBottom w:val="0"/>
      <w:divBdr>
        <w:top w:val="none" w:sz="0" w:space="0" w:color="auto"/>
        <w:left w:val="none" w:sz="0" w:space="0" w:color="auto"/>
        <w:bottom w:val="none" w:sz="0" w:space="0" w:color="auto"/>
        <w:right w:val="none" w:sz="0" w:space="0" w:color="auto"/>
      </w:divBdr>
    </w:div>
    <w:div w:id="169223568">
      <w:marLeft w:val="0"/>
      <w:marRight w:val="0"/>
      <w:marTop w:val="0"/>
      <w:marBottom w:val="0"/>
      <w:divBdr>
        <w:top w:val="none" w:sz="0" w:space="0" w:color="auto"/>
        <w:left w:val="none" w:sz="0" w:space="0" w:color="auto"/>
        <w:bottom w:val="none" w:sz="0" w:space="0" w:color="auto"/>
        <w:right w:val="none" w:sz="0" w:space="0" w:color="auto"/>
      </w:divBdr>
    </w:div>
    <w:div w:id="169223570">
      <w:marLeft w:val="0"/>
      <w:marRight w:val="0"/>
      <w:marTop w:val="0"/>
      <w:marBottom w:val="0"/>
      <w:divBdr>
        <w:top w:val="none" w:sz="0" w:space="0" w:color="auto"/>
        <w:left w:val="none" w:sz="0" w:space="0" w:color="auto"/>
        <w:bottom w:val="none" w:sz="0" w:space="0" w:color="auto"/>
        <w:right w:val="none" w:sz="0" w:space="0" w:color="auto"/>
      </w:divBdr>
      <w:divsChild>
        <w:div w:id="169223569">
          <w:marLeft w:val="0"/>
          <w:marRight w:val="0"/>
          <w:marTop w:val="0"/>
          <w:marBottom w:val="0"/>
          <w:divBdr>
            <w:top w:val="none" w:sz="0" w:space="0" w:color="auto"/>
            <w:left w:val="none" w:sz="0" w:space="0" w:color="auto"/>
            <w:bottom w:val="none" w:sz="0" w:space="0" w:color="auto"/>
            <w:right w:val="none" w:sz="0" w:space="0" w:color="auto"/>
          </w:divBdr>
        </w:div>
      </w:divsChild>
    </w:div>
    <w:div w:id="169223571">
      <w:marLeft w:val="0"/>
      <w:marRight w:val="0"/>
      <w:marTop w:val="0"/>
      <w:marBottom w:val="0"/>
      <w:divBdr>
        <w:top w:val="none" w:sz="0" w:space="0" w:color="auto"/>
        <w:left w:val="none" w:sz="0" w:space="0" w:color="auto"/>
        <w:bottom w:val="none" w:sz="0" w:space="0" w:color="auto"/>
        <w:right w:val="none" w:sz="0" w:space="0" w:color="auto"/>
      </w:divBdr>
    </w:div>
    <w:div w:id="169223572">
      <w:marLeft w:val="0"/>
      <w:marRight w:val="0"/>
      <w:marTop w:val="0"/>
      <w:marBottom w:val="0"/>
      <w:divBdr>
        <w:top w:val="none" w:sz="0" w:space="0" w:color="auto"/>
        <w:left w:val="none" w:sz="0" w:space="0" w:color="auto"/>
        <w:bottom w:val="none" w:sz="0" w:space="0" w:color="auto"/>
        <w:right w:val="none" w:sz="0" w:space="0" w:color="auto"/>
      </w:divBdr>
    </w:div>
    <w:div w:id="169223573">
      <w:marLeft w:val="0"/>
      <w:marRight w:val="0"/>
      <w:marTop w:val="0"/>
      <w:marBottom w:val="0"/>
      <w:divBdr>
        <w:top w:val="none" w:sz="0" w:space="0" w:color="auto"/>
        <w:left w:val="none" w:sz="0" w:space="0" w:color="auto"/>
        <w:bottom w:val="none" w:sz="0" w:space="0" w:color="auto"/>
        <w:right w:val="none" w:sz="0" w:space="0" w:color="auto"/>
      </w:divBdr>
    </w:div>
    <w:div w:id="169223574">
      <w:marLeft w:val="0"/>
      <w:marRight w:val="0"/>
      <w:marTop w:val="0"/>
      <w:marBottom w:val="0"/>
      <w:divBdr>
        <w:top w:val="none" w:sz="0" w:space="0" w:color="auto"/>
        <w:left w:val="none" w:sz="0" w:space="0" w:color="auto"/>
        <w:bottom w:val="none" w:sz="0" w:space="0" w:color="auto"/>
        <w:right w:val="none" w:sz="0" w:space="0" w:color="auto"/>
      </w:divBdr>
    </w:div>
    <w:div w:id="169223575">
      <w:marLeft w:val="0"/>
      <w:marRight w:val="0"/>
      <w:marTop w:val="0"/>
      <w:marBottom w:val="0"/>
      <w:divBdr>
        <w:top w:val="none" w:sz="0" w:space="0" w:color="auto"/>
        <w:left w:val="none" w:sz="0" w:space="0" w:color="auto"/>
        <w:bottom w:val="none" w:sz="0" w:space="0" w:color="auto"/>
        <w:right w:val="none" w:sz="0" w:space="0" w:color="auto"/>
      </w:divBdr>
    </w:div>
    <w:div w:id="169223576">
      <w:marLeft w:val="0"/>
      <w:marRight w:val="0"/>
      <w:marTop w:val="0"/>
      <w:marBottom w:val="0"/>
      <w:divBdr>
        <w:top w:val="none" w:sz="0" w:space="0" w:color="auto"/>
        <w:left w:val="none" w:sz="0" w:space="0" w:color="auto"/>
        <w:bottom w:val="none" w:sz="0" w:space="0" w:color="auto"/>
        <w:right w:val="none" w:sz="0" w:space="0" w:color="auto"/>
      </w:divBdr>
    </w:div>
    <w:div w:id="169223577">
      <w:marLeft w:val="0"/>
      <w:marRight w:val="0"/>
      <w:marTop w:val="0"/>
      <w:marBottom w:val="0"/>
      <w:divBdr>
        <w:top w:val="none" w:sz="0" w:space="0" w:color="auto"/>
        <w:left w:val="none" w:sz="0" w:space="0" w:color="auto"/>
        <w:bottom w:val="none" w:sz="0" w:space="0" w:color="auto"/>
        <w:right w:val="none" w:sz="0" w:space="0" w:color="auto"/>
      </w:divBdr>
    </w:div>
    <w:div w:id="169223578">
      <w:marLeft w:val="0"/>
      <w:marRight w:val="0"/>
      <w:marTop w:val="0"/>
      <w:marBottom w:val="0"/>
      <w:divBdr>
        <w:top w:val="none" w:sz="0" w:space="0" w:color="auto"/>
        <w:left w:val="none" w:sz="0" w:space="0" w:color="auto"/>
        <w:bottom w:val="none" w:sz="0" w:space="0" w:color="auto"/>
        <w:right w:val="none" w:sz="0" w:space="0" w:color="auto"/>
      </w:divBdr>
      <w:divsChild>
        <w:div w:id="169223641">
          <w:marLeft w:val="1469"/>
          <w:marRight w:val="0"/>
          <w:marTop w:val="240"/>
          <w:marBottom w:val="0"/>
          <w:divBdr>
            <w:top w:val="none" w:sz="0" w:space="0" w:color="auto"/>
            <w:left w:val="none" w:sz="0" w:space="0" w:color="auto"/>
            <w:bottom w:val="none" w:sz="0" w:space="0" w:color="auto"/>
            <w:right w:val="none" w:sz="0" w:space="0" w:color="auto"/>
          </w:divBdr>
        </w:div>
        <w:div w:id="169223647">
          <w:marLeft w:val="1469"/>
          <w:marRight w:val="0"/>
          <w:marTop w:val="240"/>
          <w:marBottom w:val="0"/>
          <w:divBdr>
            <w:top w:val="none" w:sz="0" w:space="0" w:color="auto"/>
            <w:left w:val="none" w:sz="0" w:space="0" w:color="auto"/>
            <w:bottom w:val="none" w:sz="0" w:space="0" w:color="auto"/>
            <w:right w:val="none" w:sz="0" w:space="0" w:color="auto"/>
          </w:divBdr>
        </w:div>
      </w:divsChild>
    </w:div>
    <w:div w:id="169223581">
      <w:marLeft w:val="0"/>
      <w:marRight w:val="0"/>
      <w:marTop w:val="0"/>
      <w:marBottom w:val="0"/>
      <w:divBdr>
        <w:top w:val="none" w:sz="0" w:space="0" w:color="auto"/>
        <w:left w:val="none" w:sz="0" w:space="0" w:color="auto"/>
        <w:bottom w:val="none" w:sz="0" w:space="0" w:color="auto"/>
        <w:right w:val="none" w:sz="0" w:space="0" w:color="auto"/>
      </w:divBdr>
      <w:divsChild>
        <w:div w:id="169223579">
          <w:marLeft w:val="1469"/>
          <w:marRight w:val="0"/>
          <w:marTop w:val="192"/>
          <w:marBottom w:val="0"/>
          <w:divBdr>
            <w:top w:val="none" w:sz="0" w:space="0" w:color="auto"/>
            <w:left w:val="none" w:sz="0" w:space="0" w:color="auto"/>
            <w:bottom w:val="none" w:sz="0" w:space="0" w:color="auto"/>
            <w:right w:val="none" w:sz="0" w:space="0" w:color="auto"/>
          </w:divBdr>
        </w:div>
        <w:div w:id="169223580">
          <w:marLeft w:val="1469"/>
          <w:marRight w:val="0"/>
          <w:marTop w:val="192"/>
          <w:marBottom w:val="0"/>
          <w:divBdr>
            <w:top w:val="none" w:sz="0" w:space="0" w:color="auto"/>
            <w:left w:val="none" w:sz="0" w:space="0" w:color="auto"/>
            <w:bottom w:val="none" w:sz="0" w:space="0" w:color="auto"/>
            <w:right w:val="none" w:sz="0" w:space="0" w:color="auto"/>
          </w:divBdr>
        </w:div>
        <w:div w:id="169223637">
          <w:marLeft w:val="936"/>
          <w:marRight w:val="0"/>
          <w:marTop w:val="360"/>
          <w:marBottom w:val="0"/>
          <w:divBdr>
            <w:top w:val="none" w:sz="0" w:space="0" w:color="auto"/>
            <w:left w:val="none" w:sz="0" w:space="0" w:color="auto"/>
            <w:bottom w:val="none" w:sz="0" w:space="0" w:color="auto"/>
            <w:right w:val="none" w:sz="0" w:space="0" w:color="auto"/>
          </w:divBdr>
        </w:div>
        <w:div w:id="169223639">
          <w:marLeft w:val="1469"/>
          <w:marRight w:val="0"/>
          <w:marTop w:val="192"/>
          <w:marBottom w:val="0"/>
          <w:divBdr>
            <w:top w:val="none" w:sz="0" w:space="0" w:color="auto"/>
            <w:left w:val="none" w:sz="0" w:space="0" w:color="auto"/>
            <w:bottom w:val="none" w:sz="0" w:space="0" w:color="auto"/>
            <w:right w:val="none" w:sz="0" w:space="0" w:color="auto"/>
          </w:divBdr>
        </w:div>
      </w:divsChild>
    </w:div>
    <w:div w:id="169223583">
      <w:marLeft w:val="0"/>
      <w:marRight w:val="0"/>
      <w:marTop w:val="0"/>
      <w:marBottom w:val="0"/>
      <w:divBdr>
        <w:top w:val="none" w:sz="0" w:space="0" w:color="auto"/>
        <w:left w:val="none" w:sz="0" w:space="0" w:color="auto"/>
        <w:bottom w:val="none" w:sz="0" w:space="0" w:color="auto"/>
        <w:right w:val="none" w:sz="0" w:space="0" w:color="auto"/>
      </w:divBdr>
      <w:divsChild>
        <w:div w:id="169223591">
          <w:marLeft w:val="878"/>
          <w:marRight w:val="0"/>
          <w:marTop w:val="480"/>
          <w:marBottom w:val="0"/>
          <w:divBdr>
            <w:top w:val="none" w:sz="0" w:space="0" w:color="auto"/>
            <w:left w:val="none" w:sz="0" w:space="0" w:color="auto"/>
            <w:bottom w:val="none" w:sz="0" w:space="0" w:color="auto"/>
            <w:right w:val="none" w:sz="0" w:space="0" w:color="auto"/>
          </w:divBdr>
        </w:div>
        <w:div w:id="169223593">
          <w:marLeft w:val="864"/>
          <w:marRight w:val="0"/>
          <w:marTop w:val="360"/>
          <w:marBottom w:val="0"/>
          <w:divBdr>
            <w:top w:val="none" w:sz="0" w:space="0" w:color="auto"/>
            <w:left w:val="none" w:sz="0" w:space="0" w:color="auto"/>
            <w:bottom w:val="none" w:sz="0" w:space="0" w:color="auto"/>
            <w:right w:val="none" w:sz="0" w:space="0" w:color="auto"/>
          </w:divBdr>
        </w:div>
        <w:div w:id="169223595">
          <w:marLeft w:val="864"/>
          <w:marRight w:val="0"/>
          <w:marTop w:val="360"/>
          <w:marBottom w:val="0"/>
          <w:divBdr>
            <w:top w:val="none" w:sz="0" w:space="0" w:color="auto"/>
            <w:left w:val="none" w:sz="0" w:space="0" w:color="auto"/>
            <w:bottom w:val="none" w:sz="0" w:space="0" w:color="auto"/>
            <w:right w:val="none" w:sz="0" w:space="0" w:color="auto"/>
          </w:divBdr>
        </w:div>
        <w:div w:id="169223636">
          <w:marLeft w:val="936"/>
          <w:marRight w:val="0"/>
          <w:marTop w:val="192"/>
          <w:marBottom w:val="0"/>
          <w:divBdr>
            <w:top w:val="none" w:sz="0" w:space="0" w:color="auto"/>
            <w:left w:val="none" w:sz="0" w:space="0" w:color="auto"/>
            <w:bottom w:val="none" w:sz="0" w:space="0" w:color="auto"/>
            <w:right w:val="none" w:sz="0" w:space="0" w:color="auto"/>
          </w:divBdr>
        </w:div>
      </w:divsChild>
    </w:div>
    <w:div w:id="169223589">
      <w:marLeft w:val="0"/>
      <w:marRight w:val="0"/>
      <w:marTop w:val="0"/>
      <w:marBottom w:val="0"/>
      <w:divBdr>
        <w:top w:val="none" w:sz="0" w:space="0" w:color="auto"/>
        <w:left w:val="none" w:sz="0" w:space="0" w:color="auto"/>
        <w:bottom w:val="none" w:sz="0" w:space="0" w:color="auto"/>
        <w:right w:val="none" w:sz="0" w:space="0" w:color="auto"/>
      </w:divBdr>
      <w:divsChild>
        <w:div w:id="169223584">
          <w:marLeft w:val="1469"/>
          <w:marRight w:val="0"/>
          <w:marTop w:val="192"/>
          <w:marBottom w:val="0"/>
          <w:divBdr>
            <w:top w:val="none" w:sz="0" w:space="0" w:color="auto"/>
            <w:left w:val="none" w:sz="0" w:space="0" w:color="auto"/>
            <w:bottom w:val="none" w:sz="0" w:space="0" w:color="auto"/>
            <w:right w:val="none" w:sz="0" w:space="0" w:color="auto"/>
          </w:divBdr>
        </w:div>
      </w:divsChild>
    </w:div>
    <w:div w:id="169223594">
      <w:marLeft w:val="0"/>
      <w:marRight w:val="0"/>
      <w:marTop w:val="0"/>
      <w:marBottom w:val="0"/>
      <w:divBdr>
        <w:top w:val="none" w:sz="0" w:space="0" w:color="auto"/>
        <w:left w:val="none" w:sz="0" w:space="0" w:color="auto"/>
        <w:bottom w:val="none" w:sz="0" w:space="0" w:color="auto"/>
        <w:right w:val="none" w:sz="0" w:space="0" w:color="auto"/>
      </w:divBdr>
      <w:divsChild>
        <w:div w:id="169223596">
          <w:marLeft w:val="936"/>
          <w:marRight w:val="0"/>
          <w:marTop w:val="211"/>
          <w:marBottom w:val="0"/>
          <w:divBdr>
            <w:top w:val="none" w:sz="0" w:space="0" w:color="auto"/>
            <w:left w:val="none" w:sz="0" w:space="0" w:color="auto"/>
            <w:bottom w:val="none" w:sz="0" w:space="0" w:color="auto"/>
            <w:right w:val="none" w:sz="0" w:space="0" w:color="auto"/>
          </w:divBdr>
        </w:div>
      </w:divsChild>
    </w:div>
    <w:div w:id="169223597">
      <w:marLeft w:val="0"/>
      <w:marRight w:val="0"/>
      <w:marTop w:val="0"/>
      <w:marBottom w:val="0"/>
      <w:divBdr>
        <w:top w:val="none" w:sz="0" w:space="0" w:color="auto"/>
        <w:left w:val="none" w:sz="0" w:space="0" w:color="auto"/>
        <w:bottom w:val="none" w:sz="0" w:space="0" w:color="auto"/>
        <w:right w:val="none" w:sz="0" w:space="0" w:color="auto"/>
      </w:divBdr>
      <w:divsChild>
        <w:div w:id="169223599">
          <w:marLeft w:val="864"/>
          <w:marRight w:val="0"/>
          <w:marTop w:val="120"/>
          <w:marBottom w:val="0"/>
          <w:divBdr>
            <w:top w:val="none" w:sz="0" w:space="0" w:color="auto"/>
            <w:left w:val="none" w:sz="0" w:space="0" w:color="auto"/>
            <w:bottom w:val="none" w:sz="0" w:space="0" w:color="auto"/>
            <w:right w:val="none" w:sz="0" w:space="0" w:color="auto"/>
          </w:divBdr>
        </w:div>
        <w:div w:id="169223607">
          <w:marLeft w:val="878"/>
          <w:marRight w:val="0"/>
          <w:marTop w:val="360"/>
          <w:marBottom w:val="0"/>
          <w:divBdr>
            <w:top w:val="none" w:sz="0" w:space="0" w:color="auto"/>
            <w:left w:val="none" w:sz="0" w:space="0" w:color="auto"/>
            <w:bottom w:val="none" w:sz="0" w:space="0" w:color="auto"/>
            <w:right w:val="none" w:sz="0" w:space="0" w:color="auto"/>
          </w:divBdr>
        </w:div>
      </w:divsChild>
    </w:div>
    <w:div w:id="169223600">
      <w:marLeft w:val="0"/>
      <w:marRight w:val="0"/>
      <w:marTop w:val="0"/>
      <w:marBottom w:val="0"/>
      <w:divBdr>
        <w:top w:val="none" w:sz="0" w:space="0" w:color="auto"/>
        <w:left w:val="none" w:sz="0" w:space="0" w:color="auto"/>
        <w:bottom w:val="none" w:sz="0" w:space="0" w:color="auto"/>
        <w:right w:val="none" w:sz="0" w:space="0" w:color="auto"/>
      </w:divBdr>
      <w:divsChild>
        <w:div w:id="169223585">
          <w:marLeft w:val="1397"/>
          <w:marRight w:val="0"/>
          <w:marTop w:val="360"/>
          <w:marBottom w:val="0"/>
          <w:divBdr>
            <w:top w:val="none" w:sz="0" w:space="0" w:color="auto"/>
            <w:left w:val="none" w:sz="0" w:space="0" w:color="auto"/>
            <w:bottom w:val="none" w:sz="0" w:space="0" w:color="auto"/>
            <w:right w:val="none" w:sz="0" w:space="0" w:color="auto"/>
          </w:divBdr>
        </w:div>
        <w:div w:id="169223587">
          <w:marLeft w:val="936"/>
          <w:marRight w:val="0"/>
          <w:marTop w:val="600"/>
          <w:marBottom w:val="0"/>
          <w:divBdr>
            <w:top w:val="none" w:sz="0" w:space="0" w:color="auto"/>
            <w:left w:val="none" w:sz="0" w:space="0" w:color="auto"/>
            <w:bottom w:val="none" w:sz="0" w:space="0" w:color="auto"/>
            <w:right w:val="none" w:sz="0" w:space="0" w:color="auto"/>
          </w:divBdr>
        </w:div>
        <w:div w:id="169223618">
          <w:marLeft w:val="936"/>
          <w:marRight w:val="0"/>
          <w:marTop w:val="211"/>
          <w:marBottom w:val="0"/>
          <w:divBdr>
            <w:top w:val="none" w:sz="0" w:space="0" w:color="auto"/>
            <w:left w:val="none" w:sz="0" w:space="0" w:color="auto"/>
            <w:bottom w:val="none" w:sz="0" w:space="0" w:color="auto"/>
            <w:right w:val="none" w:sz="0" w:space="0" w:color="auto"/>
          </w:divBdr>
        </w:div>
      </w:divsChild>
    </w:div>
    <w:div w:id="169223602">
      <w:marLeft w:val="0"/>
      <w:marRight w:val="0"/>
      <w:marTop w:val="0"/>
      <w:marBottom w:val="0"/>
      <w:divBdr>
        <w:top w:val="none" w:sz="0" w:space="0" w:color="auto"/>
        <w:left w:val="none" w:sz="0" w:space="0" w:color="auto"/>
        <w:bottom w:val="none" w:sz="0" w:space="0" w:color="auto"/>
        <w:right w:val="none" w:sz="0" w:space="0" w:color="auto"/>
      </w:divBdr>
    </w:div>
    <w:div w:id="169223603">
      <w:marLeft w:val="0"/>
      <w:marRight w:val="0"/>
      <w:marTop w:val="0"/>
      <w:marBottom w:val="0"/>
      <w:divBdr>
        <w:top w:val="none" w:sz="0" w:space="0" w:color="auto"/>
        <w:left w:val="none" w:sz="0" w:space="0" w:color="auto"/>
        <w:bottom w:val="none" w:sz="0" w:space="0" w:color="auto"/>
        <w:right w:val="none" w:sz="0" w:space="0" w:color="auto"/>
      </w:divBdr>
      <w:divsChild>
        <w:div w:id="169223598">
          <w:marLeft w:val="936"/>
          <w:marRight w:val="0"/>
          <w:marTop w:val="211"/>
          <w:marBottom w:val="0"/>
          <w:divBdr>
            <w:top w:val="none" w:sz="0" w:space="0" w:color="auto"/>
            <w:left w:val="none" w:sz="0" w:space="0" w:color="auto"/>
            <w:bottom w:val="none" w:sz="0" w:space="0" w:color="auto"/>
            <w:right w:val="none" w:sz="0" w:space="0" w:color="auto"/>
          </w:divBdr>
        </w:div>
        <w:div w:id="169223610">
          <w:marLeft w:val="936"/>
          <w:marRight w:val="0"/>
          <w:marTop w:val="360"/>
          <w:marBottom w:val="0"/>
          <w:divBdr>
            <w:top w:val="none" w:sz="0" w:space="0" w:color="auto"/>
            <w:left w:val="none" w:sz="0" w:space="0" w:color="auto"/>
            <w:bottom w:val="none" w:sz="0" w:space="0" w:color="auto"/>
            <w:right w:val="none" w:sz="0" w:space="0" w:color="auto"/>
          </w:divBdr>
        </w:div>
        <w:div w:id="169223611">
          <w:marLeft w:val="1469"/>
          <w:marRight w:val="0"/>
          <w:marTop w:val="192"/>
          <w:marBottom w:val="0"/>
          <w:divBdr>
            <w:top w:val="none" w:sz="0" w:space="0" w:color="auto"/>
            <w:left w:val="none" w:sz="0" w:space="0" w:color="auto"/>
            <w:bottom w:val="none" w:sz="0" w:space="0" w:color="auto"/>
            <w:right w:val="none" w:sz="0" w:space="0" w:color="auto"/>
          </w:divBdr>
        </w:div>
        <w:div w:id="169223614">
          <w:marLeft w:val="1469"/>
          <w:marRight w:val="0"/>
          <w:marTop w:val="192"/>
          <w:marBottom w:val="0"/>
          <w:divBdr>
            <w:top w:val="none" w:sz="0" w:space="0" w:color="auto"/>
            <w:left w:val="none" w:sz="0" w:space="0" w:color="auto"/>
            <w:bottom w:val="none" w:sz="0" w:space="0" w:color="auto"/>
            <w:right w:val="none" w:sz="0" w:space="0" w:color="auto"/>
          </w:divBdr>
        </w:div>
        <w:div w:id="169223616">
          <w:marLeft w:val="1469"/>
          <w:marRight w:val="0"/>
          <w:marTop w:val="192"/>
          <w:marBottom w:val="0"/>
          <w:divBdr>
            <w:top w:val="none" w:sz="0" w:space="0" w:color="auto"/>
            <w:left w:val="none" w:sz="0" w:space="0" w:color="auto"/>
            <w:bottom w:val="none" w:sz="0" w:space="0" w:color="auto"/>
            <w:right w:val="none" w:sz="0" w:space="0" w:color="auto"/>
          </w:divBdr>
        </w:div>
      </w:divsChild>
    </w:div>
    <w:div w:id="169223604">
      <w:marLeft w:val="0"/>
      <w:marRight w:val="0"/>
      <w:marTop w:val="0"/>
      <w:marBottom w:val="0"/>
      <w:divBdr>
        <w:top w:val="none" w:sz="0" w:space="0" w:color="auto"/>
        <w:left w:val="none" w:sz="0" w:space="0" w:color="auto"/>
        <w:bottom w:val="none" w:sz="0" w:space="0" w:color="auto"/>
        <w:right w:val="none" w:sz="0" w:space="0" w:color="auto"/>
      </w:divBdr>
      <w:divsChild>
        <w:div w:id="169223582">
          <w:marLeft w:val="936"/>
          <w:marRight w:val="0"/>
          <w:marTop w:val="192"/>
          <w:marBottom w:val="0"/>
          <w:divBdr>
            <w:top w:val="none" w:sz="0" w:space="0" w:color="auto"/>
            <w:left w:val="none" w:sz="0" w:space="0" w:color="auto"/>
            <w:bottom w:val="none" w:sz="0" w:space="0" w:color="auto"/>
            <w:right w:val="none" w:sz="0" w:space="0" w:color="auto"/>
          </w:divBdr>
        </w:div>
        <w:div w:id="169223590">
          <w:marLeft w:val="1469"/>
          <w:marRight w:val="0"/>
          <w:marTop w:val="192"/>
          <w:marBottom w:val="0"/>
          <w:divBdr>
            <w:top w:val="none" w:sz="0" w:space="0" w:color="auto"/>
            <w:left w:val="none" w:sz="0" w:space="0" w:color="auto"/>
            <w:bottom w:val="none" w:sz="0" w:space="0" w:color="auto"/>
            <w:right w:val="none" w:sz="0" w:space="0" w:color="auto"/>
          </w:divBdr>
        </w:div>
        <w:div w:id="169223592">
          <w:marLeft w:val="936"/>
          <w:marRight w:val="0"/>
          <w:marTop w:val="192"/>
          <w:marBottom w:val="0"/>
          <w:divBdr>
            <w:top w:val="none" w:sz="0" w:space="0" w:color="auto"/>
            <w:left w:val="none" w:sz="0" w:space="0" w:color="auto"/>
            <w:bottom w:val="none" w:sz="0" w:space="0" w:color="auto"/>
            <w:right w:val="none" w:sz="0" w:space="0" w:color="auto"/>
          </w:divBdr>
        </w:div>
        <w:div w:id="169223601">
          <w:marLeft w:val="1469"/>
          <w:marRight w:val="0"/>
          <w:marTop w:val="192"/>
          <w:marBottom w:val="0"/>
          <w:divBdr>
            <w:top w:val="none" w:sz="0" w:space="0" w:color="auto"/>
            <w:left w:val="none" w:sz="0" w:space="0" w:color="auto"/>
            <w:bottom w:val="none" w:sz="0" w:space="0" w:color="auto"/>
            <w:right w:val="none" w:sz="0" w:space="0" w:color="auto"/>
          </w:divBdr>
        </w:div>
        <w:div w:id="169223609">
          <w:marLeft w:val="1469"/>
          <w:marRight w:val="0"/>
          <w:marTop w:val="192"/>
          <w:marBottom w:val="0"/>
          <w:divBdr>
            <w:top w:val="none" w:sz="0" w:space="0" w:color="auto"/>
            <w:left w:val="none" w:sz="0" w:space="0" w:color="auto"/>
            <w:bottom w:val="none" w:sz="0" w:space="0" w:color="auto"/>
            <w:right w:val="none" w:sz="0" w:space="0" w:color="auto"/>
          </w:divBdr>
        </w:div>
        <w:div w:id="169223612">
          <w:marLeft w:val="1469"/>
          <w:marRight w:val="0"/>
          <w:marTop w:val="192"/>
          <w:marBottom w:val="0"/>
          <w:divBdr>
            <w:top w:val="none" w:sz="0" w:space="0" w:color="auto"/>
            <w:left w:val="none" w:sz="0" w:space="0" w:color="auto"/>
            <w:bottom w:val="none" w:sz="0" w:space="0" w:color="auto"/>
            <w:right w:val="none" w:sz="0" w:space="0" w:color="auto"/>
          </w:divBdr>
        </w:div>
        <w:div w:id="169223617">
          <w:marLeft w:val="936"/>
          <w:marRight w:val="0"/>
          <w:marTop w:val="192"/>
          <w:marBottom w:val="0"/>
          <w:divBdr>
            <w:top w:val="none" w:sz="0" w:space="0" w:color="auto"/>
            <w:left w:val="none" w:sz="0" w:space="0" w:color="auto"/>
            <w:bottom w:val="none" w:sz="0" w:space="0" w:color="auto"/>
            <w:right w:val="none" w:sz="0" w:space="0" w:color="auto"/>
          </w:divBdr>
        </w:div>
        <w:div w:id="169223620">
          <w:marLeft w:val="936"/>
          <w:marRight w:val="0"/>
          <w:marTop w:val="192"/>
          <w:marBottom w:val="0"/>
          <w:divBdr>
            <w:top w:val="none" w:sz="0" w:space="0" w:color="auto"/>
            <w:left w:val="none" w:sz="0" w:space="0" w:color="auto"/>
            <w:bottom w:val="none" w:sz="0" w:space="0" w:color="auto"/>
            <w:right w:val="none" w:sz="0" w:space="0" w:color="auto"/>
          </w:divBdr>
        </w:div>
      </w:divsChild>
    </w:div>
    <w:div w:id="169223606">
      <w:marLeft w:val="0"/>
      <w:marRight w:val="0"/>
      <w:marTop w:val="0"/>
      <w:marBottom w:val="0"/>
      <w:divBdr>
        <w:top w:val="none" w:sz="0" w:space="0" w:color="auto"/>
        <w:left w:val="none" w:sz="0" w:space="0" w:color="auto"/>
        <w:bottom w:val="none" w:sz="0" w:space="0" w:color="auto"/>
        <w:right w:val="none" w:sz="0" w:space="0" w:color="auto"/>
      </w:divBdr>
      <w:divsChild>
        <w:div w:id="169223605">
          <w:marLeft w:val="936"/>
          <w:marRight w:val="0"/>
          <w:marTop w:val="211"/>
          <w:marBottom w:val="0"/>
          <w:divBdr>
            <w:top w:val="none" w:sz="0" w:space="0" w:color="auto"/>
            <w:left w:val="none" w:sz="0" w:space="0" w:color="auto"/>
            <w:bottom w:val="none" w:sz="0" w:space="0" w:color="auto"/>
            <w:right w:val="none" w:sz="0" w:space="0" w:color="auto"/>
          </w:divBdr>
        </w:div>
      </w:divsChild>
    </w:div>
    <w:div w:id="169223619">
      <w:marLeft w:val="0"/>
      <w:marRight w:val="0"/>
      <w:marTop w:val="0"/>
      <w:marBottom w:val="0"/>
      <w:divBdr>
        <w:top w:val="none" w:sz="0" w:space="0" w:color="auto"/>
        <w:left w:val="none" w:sz="0" w:space="0" w:color="auto"/>
        <w:bottom w:val="none" w:sz="0" w:space="0" w:color="auto"/>
        <w:right w:val="none" w:sz="0" w:space="0" w:color="auto"/>
      </w:divBdr>
      <w:divsChild>
        <w:div w:id="169223586">
          <w:marLeft w:val="1469"/>
          <w:marRight w:val="0"/>
          <w:marTop w:val="192"/>
          <w:marBottom w:val="0"/>
          <w:divBdr>
            <w:top w:val="none" w:sz="0" w:space="0" w:color="auto"/>
            <w:left w:val="none" w:sz="0" w:space="0" w:color="auto"/>
            <w:bottom w:val="none" w:sz="0" w:space="0" w:color="auto"/>
            <w:right w:val="none" w:sz="0" w:space="0" w:color="auto"/>
          </w:divBdr>
        </w:div>
        <w:div w:id="169223588">
          <w:marLeft w:val="936"/>
          <w:marRight w:val="0"/>
          <w:marTop w:val="360"/>
          <w:marBottom w:val="0"/>
          <w:divBdr>
            <w:top w:val="none" w:sz="0" w:space="0" w:color="auto"/>
            <w:left w:val="none" w:sz="0" w:space="0" w:color="auto"/>
            <w:bottom w:val="none" w:sz="0" w:space="0" w:color="auto"/>
            <w:right w:val="none" w:sz="0" w:space="0" w:color="auto"/>
          </w:divBdr>
        </w:div>
        <w:div w:id="169223608">
          <w:marLeft w:val="1469"/>
          <w:marRight w:val="0"/>
          <w:marTop w:val="192"/>
          <w:marBottom w:val="0"/>
          <w:divBdr>
            <w:top w:val="none" w:sz="0" w:space="0" w:color="auto"/>
            <w:left w:val="none" w:sz="0" w:space="0" w:color="auto"/>
            <w:bottom w:val="none" w:sz="0" w:space="0" w:color="auto"/>
            <w:right w:val="none" w:sz="0" w:space="0" w:color="auto"/>
          </w:divBdr>
        </w:div>
        <w:div w:id="169223613">
          <w:marLeft w:val="1469"/>
          <w:marRight w:val="0"/>
          <w:marTop w:val="192"/>
          <w:marBottom w:val="0"/>
          <w:divBdr>
            <w:top w:val="none" w:sz="0" w:space="0" w:color="auto"/>
            <w:left w:val="none" w:sz="0" w:space="0" w:color="auto"/>
            <w:bottom w:val="none" w:sz="0" w:space="0" w:color="auto"/>
            <w:right w:val="none" w:sz="0" w:space="0" w:color="auto"/>
          </w:divBdr>
        </w:div>
        <w:div w:id="169223615">
          <w:marLeft w:val="936"/>
          <w:marRight w:val="0"/>
          <w:marTop w:val="211"/>
          <w:marBottom w:val="0"/>
          <w:divBdr>
            <w:top w:val="none" w:sz="0" w:space="0" w:color="auto"/>
            <w:left w:val="none" w:sz="0" w:space="0" w:color="auto"/>
            <w:bottom w:val="none" w:sz="0" w:space="0" w:color="auto"/>
            <w:right w:val="none" w:sz="0" w:space="0" w:color="auto"/>
          </w:divBdr>
        </w:div>
      </w:divsChild>
    </w:div>
    <w:div w:id="169223621">
      <w:marLeft w:val="0"/>
      <w:marRight w:val="0"/>
      <w:marTop w:val="0"/>
      <w:marBottom w:val="0"/>
      <w:divBdr>
        <w:top w:val="none" w:sz="0" w:space="0" w:color="auto"/>
        <w:left w:val="none" w:sz="0" w:space="0" w:color="auto"/>
        <w:bottom w:val="none" w:sz="0" w:space="0" w:color="auto"/>
        <w:right w:val="none" w:sz="0" w:space="0" w:color="auto"/>
      </w:divBdr>
    </w:div>
    <w:div w:id="169223622">
      <w:marLeft w:val="0"/>
      <w:marRight w:val="0"/>
      <w:marTop w:val="0"/>
      <w:marBottom w:val="0"/>
      <w:divBdr>
        <w:top w:val="none" w:sz="0" w:space="0" w:color="auto"/>
        <w:left w:val="none" w:sz="0" w:space="0" w:color="auto"/>
        <w:bottom w:val="none" w:sz="0" w:space="0" w:color="auto"/>
        <w:right w:val="none" w:sz="0" w:space="0" w:color="auto"/>
      </w:divBdr>
    </w:div>
    <w:div w:id="169223623">
      <w:marLeft w:val="0"/>
      <w:marRight w:val="0"/>
      <w:marTop w:val="0"/>
      <w:marBottom w:val="0"/>
      <w:divBdr>
        <w:top w:val="none" w:sz="0" w:space="0" w:color="auto"/>
        <w:left w:val="none" w:sz="0" w:space="0" w:color="auto"/>
        <w:bottom w:val="none" w:sz="0" w:space="0" w:color="auto"/>
        <w:right w:val="none" w:sz="0" w:space="0" w:color="auto"/>
      </w:divBdr>
    </w:div>
    <w:div w:id="169223624">
      <w:marLeft w:val="0"/>
      <w:marRight w:val="0"/>
      <w:marTop w:val="0"/>
      <w:marBottom w:val="0"/>
      <w:divBdr>
        <w:top w:val="none" w:sz="0" w:space="0" w:color="auto"/>
        <w:left w:val="none" w:sz="0" w:space="0" w:color="auto"/>
        <w:bottom w:val="none" w:sz="0" w:space="0" w:color="auto"/>
        <w:right w:val="none" w:sz="0" w:space="0" w:color="auto"/>
      </w:divBdr>
    </w:div>
    <w:div w:id="169223625">
      <w:marLeft w:val="0"/>
      <w:marRight w:val="0"/>
      <w:marTop w:val="0"/>
      <w:marBottom w:val="0"/>
      <w:divBdr>
        <w:top w:val="none" w:sz="0" w:space="0" w:color="auto"/>
        <w:left w:val="none" w:sz="0" w:space="0" w:color="auto"/>
        <w:bottom w:val="none" w:sz="0" w:space="0" w:color="auto"/>
        <w:right w:val="none" w:sz="0" w:space="0" w:color="auto"/>
      </w:divBdr>
    </w:div>
    <w:div w:id="169223626">
      <w:marLeft w:val="0"/>
      <w:marRight w:val="0"/>
      <w:marTop w:val="0"/>
      <w:marBottom w:val="0"/>
      <w:divBdr>
        <w:top w:val="none" w:sz="0" w:space="0" w:color="auto"/>
        <w:left w:val="none" w:sz="0" w:space="0" w:color="auto"/>
        <w:bottom w:val="none" w:sz="0" w:space="0" w:color="auto"/>
        <w:right w:val="none" w:sz="0" w:space="0" w:color="auto"/>
      </w:divBdr>
    </w:div>
    <w:div w:id="169223627">
      <w:marLeft w:val="0"/>
      <w:marRight w:val="0"/>
      <w:marTop w:val="0"/>
      <w:marBottom w:val="0"/>
      <w:divBdr>
        <w:top w:val="none" w:sz="0" w:space="0" w:color="auto"/>
        <w:left w:val="none" w:sz="0" w:space="0" w:color="auto"/>
        <w:bottom w:val="none" w:sz="0" w:space="0" w:color="auto"/>
        <w:right w:val="none" w:sz="0" w:space="0" w:color="auto"/>
      </w:divBdr>
    </w:div>
    <w:div w:id="169223628">
      <w:marLeft w:val="0"/>
      <w:marRight w:val="0"/>
      <w:marTop w:val="0"/>
      <w:marBottom w:val="0"/>
      <w:divBdr>
        <w:top w:val="none" w:sz="0" w:space="0" w:color="auto"/>
        <w:left w:val="none" w:sz="0" w:space="0" w:color="auto"/>
        <w:bottom w:val="none" w:sz="0" w:space="0" w:color="auto"/>
        <w:right w:val="none" w:sz="0" w:space="0" w:color="auto"/>
      </w:divBdr>
    </w:div>
    <w:div w:id="169223629">
      <w:marLeft w:val="0"/>
      <w:marRight w:val="0"/>
      <w:marTop w:val="0"/>
      <w:marBottom w:val="0"/>
      <w:divBdr>
        <w:top w:val="none" w:sz="0" w:space="0" w:color="auto"/>
        <w:left w:val="none" w:sz="0" w:space="0" w:color="auto"/>
        <w:bottom w:val="none" w:sz="0" w:space="0" w:color="auto"/>
        <w:right w:val="none" w:sz="0" w:space="0" w:color="auto"/>
      </w:divBdr>
    </w:div>
    <w:div w:id="169223630">
      <w:marLeft w:val="0"/>
      <w:marRight w:val="0"/>
      <w:marTop w:val="0"/>
      <w:marBottom w:val="0"/>
      <w:divBdr>
        <w:top w:val="none" w:sz="0" w:space="0" w:color="auto"/>
        <w:left w:val="none" w:sz="0" w:space="0" w:color="auto"/>
        <w:bottom w:val="none" w:sz="0" w:space="0" w:color="auto"/>
        <w:right w:val="none" w:sz="0" w:space="0" w:color="auto"/>
      </w:divBdr>
    </w:div>
    <w:div w:id="169223631">
      <w:marLeft w:val="0"/>
      <w:marRight w:val="0"/>
      <w:marTop w:val="0"/>
      <w:marBottom w:val="0"/>
      <w:divBdr>
        <w:top w:val="none" w:sz="0" w:space="0" w:color="auto"/>
        <w:left w:val="none" w:sz="0" w:space="0" w:color="auto"/>
        <w:bottom w:val="none" w:sz="0" w:space="0" w:color="auto"/>
        <w:right w:val="none" w:sz="0" w:space="0" w:color="auto"/>
      </w:divBdr>
    </w:div>
    <w:div w:id="169223632">
      <w:marLeft w:val="0"/>
      <w:marRight w:val="0"/>
      <w:marTop w:val="0"/>
      <w:marBottom w:val="0"/>
      <w:divBdr>
        <w:top w:val="none" w:sz="0" w:space="0" w:color="auto"/>
        <w:left w:val="none" w:sz="0" w:space="0" w:color="auto"/>
        <w:bottom w:val="none" w:sz="0" w:space="0" w:color="auto"/>
        <w:right w:val="none" w:sz="0" w:space="0" w:color="auto"/>
      </w:divBdr>
    </w:div>
    <w:div w:id="169223633">
      <w:marLeft w:val="0"/>
      <w:marRight w:val="0"/>
      <w:marTop w:val="0"/>
      <w:marBottom w:val="0"/>
      <w:divBdr>
        <w:top w:val="none" w:sz="0" w:space="0" w:color="auto"/>
        <w:left w:val="none" w:sz="0" w:space="0" w:color="auto"/>
        <w:bottom w:val="none" w:sz="0" w:space="0" w:color="auto"/>
        <w:right w:val="none" w:sz="0" w:space="0" w:color="auto"/>
      </w:divBdr>
    </w:div>
    <w:div w:id="169223634">
      <w:marLeft w:val="0"/>
      <w:marRight w:val="0"/>
      <w:marTop w:val="0"/>
      <w:marBottom w:val="0"/>
      <w:divBdr>
        <w:top w:val="none" w:sz="0" w:space="0" w:color="auto"/>
        <w:left w:val="none" w:sz="0" w:space="0" w:color="auto"/>
        <w:bottom w:val="none" w:sz="0" w:space="0" w:color="auto"/>
        <w:right w:val="none" w:sz="0" w:space="0" w:color="auto"/>
      </w:divBdr>
    </w:div>
    <w:div w:id="169223635">
      <w:marLeft w:val="0"/>
      <w:marRight w:val="0"/>
      <w:marTop w:val="0"/>
      <w:marBottom w:val="0"/>
      <w:divBdr>
        <w:top w:val="none" w:sz="0" w:space="0" w:color="auto"/>
        <w:left w:val="none" w:sz="0" w:space="0" w:color="auto"/>
        <w:bottom w:val="none" w:sz="0" w:space="0" w:color="auto"/>
        <w:right w:val="none" w:sz="0" w:space="0" w:color="auto"/>
      </w:divBdr>
    </w:div>
    <w:div w:id="169223643">
      <w:marLeft w:val="0"/>
      <w:marRight w:val="0"/>
      <w:marTop w:val="0"/>
      <w:marBottom w:val="0"/>
      <w:divBdr>
        <w:top w:val="none" w:sz="0" w:space="0" w:color="auto"/>
        <w:left w:val="none" w:sz="0" w:space="0" w:color="auto"/>
        <w:bottom w:val="none" w:sz="0" w:space="0" w:color="auto"/>
        <w:right w:val="none" w:sz="0" w:space="0" w:color="auto"/>
      </w:divBdr>
      <w:divsChild>
        <w:div w:id="169223642">
          <w:marLeft w:val="936"/>
          <w:marRight w:val="0"/>
          <w:marTop w:val="211"/>
          <w:marBottom w:val="0"/>
          <w:divBdr>
            <w:top w:val="none" w:sz="0" w:space="0" w:color="auto"/>
            <w:left w:val="none" w:sz="0" w:space="0" w:color="auto"/>
            <w:bottom w:val="none" w:sz="0" w:space="0" w:color="auto"/>
            <w:right w:val="none" w:sz="0" w:space="0" w:color="auto"/>
          </w:divBdr>
        </w:div>
      </w:divsChild>
    </w:div>
    <w:div w:id="169223645">
      <w:marLeft w:val="0"/>
      <w:marRight w:val="0"/>
      <w:marTop w:val="0"/>
      <w:marBottom w:val="0"/>
      <w:divBdr>
        <w:top w:val="none" w:sz="0" w:space="0" w:color="auto"/>
        <w:left w:val="none" w:sz="0" w:space="0" w:color="auto"/>
        <w:bottom w:val="none" w:sz="0" w:space="0" w:color="auto"/>
        <w:right w:val="none" w:sz="0" w:space="0" w:color="auto"/>
      </w:divBdr>
      <w:divsChild>
        <w:div w:id="169223638">
          <w:marLeft w:val="1469"/>
          <w:marRight w:val="0"/>
          <w:marTop w:val="192"/>
          <w:marBottom w:val="0"/>
          <w:divBdr>
            <w:top w:val="none" w:sz="0" w:space="0" w:color="auto"/>
            <w:left w:val="none" w:sz="0" w:space="0" w:color="auto"/>
            <w:bottom w:val="none" w:sz="0" w:space="0" w:color="auto"/>
            <w:right w:val="none" w:sz="0" w:space="0" w:color="auto"/>
          </w:divBdr>
        </w:div>
        <w:div w:id="169223640">
          <w:marLeft w:val="936"/>
          <w:marRight w:val="0"/>
          <w:marTop w:val="360"/>
          <w:marBottom w:val="0"/>
          <w:divBdr>
            <w:top w:val="none" w:sz="0" w:space="0" w:color="auto"/>
            <w:left w:val="none" w:sz="0" w:space="0" w:color="auto"/>
            <w:bottom w:val="none" w:sz="0" w:space="0" w:color="auto"/>
            <w:right w:val="none" w:sz="0" w:space="0" w:color="auto"/>
          </w:divBdr>
        </w:div>
        <w:div w:id="169223644">
          <w:marLeft w:val="1469"/>
          <w:marRight w:val="0"/>
          <w:marTop w:val="192"/>
          <w:marBottom w:val="0"/>
          <w:divBdr>
            <w:top w:val="none" w:sz="0" w:space="0" w:color="auto"/>
            <w:left w:val="none" w:sz="0" w:space="0" w:color="auto"/>
            <w:bottom w:val="none" w:sz="0" w:space="0" w:color="auto"/>
            <w:right w:val="none" w:sz="0" w:space="0" w:color="auto"/>
          </w:divBdr>
        </w:div>
        <w:div w:id="169223646">
          <w:marLeft w:val="1469"/>
          <w:marRight w:val="0"/>
          <w:marTop w:val="192"/>
          <w:marBottom w:val="0"/>
          <w:divBdr>
            <w:top w:val="none" w:sz="0" w:space="0" w:color="auto"/>
            <w:left w:val="none" w:sz="0" w:space="0" w:color="auto"/>
            <w:bottom w:val="none" w:sz="0" w:space="0" w:color="auto"/>
            <w:right w:val="none" w:sz="0" w:space="0" w:color="auto"/>
          </w:divBdr>
        </w:div>
      </w:divsChild>
    </w:div>
    <w:div w:id="169223648">
      <w:marLeft w:val="0"/>
      <w:marRight w:val="0"/>
      <w:marTop w:val="0"/>
      <w:marBottom w:val="0"/>
      <w:divBdr>
        <w:top w:val="none" w:sz="0" w:space="0" w:color="auto"/>
        <w:left w:val="none" w:sz="0" w:space="0" w:color="auto"/>
        <w:bottom w:val="none" w:sz="0" w:space="0" w:color="auto"/>
        <w:right w:val="none" w:sz="0" w:space="0" w:color="auto"/>
      </w:divBdr>
    </w:div>
    <w:div w:id="169223649">
      <w:marLeft w:val="0"/>
      <w:marRight w:val="0"/>
      <w:marTop w:val="0"/>
      <w:marBottom w:val="0"/>
      <w:divBdr>
        <w:top w:val="none" w:sz="0" w:space="0" w:color="auto"/>
        <w:left w:val="none" w:sz="0" w:space="0" w:color="auto"/>
        <w:bottom w:val="none" w:sz="0" w:space="0" w:color="auto"/>
        <w:right w:val="none" w:sz="0" w:space="0" w:color="auto"/>
      </w:divBdr>
    </w:div>
    <w:div w:id="169223650">
      <w:marLeft w:val="0"/>
      <w:marRight w:val="0"/>
      <w:marTop w:val="0"/>
      <w:marBottom w:val="0"/>
      <w:divBdr>
        <w:top w:val="none" w:sz="0" w:space="0" w:color="auto"/>
        <w:left w:val="none" w:sz="0" w:space="0" w:color="auto"/>
        <w:bottom w:val="none" w:sz="0" w:space="0" w:color="auto"/>
        <w:right w:val="none" w:sz="0" w:space="0" w:color="auto"/>
      </w:divBdr>
    </w:div>
    <w:div w:id="169223651">
      <w:marLeft w:val="0"/>
      <w:marRight w:val="0"/>
      <w:marTop w:val="0"/>
      <w:marBottom w:val="0"/>
      <w:divBdr>
        <w:top w:val="none" w:sz="0" w:space="0" w:color="auto"/>
        <w:left w:val="none" w:sz="0" w:space="0" w:color="auto"/>
        <w:bottom w:val="none" w:sz="0" w:space="0" w:color="auto"/>
        <w:right w:val="none" w:sz="0" w:space="0" w:color="auto"/>
      </w:divBdr>
    </w:div>
    <w:div w:id="169223652">
      <w:marLeft w:val="0"/>
      <w:marRight w:val="0"/>
      <w:marTop w:val="0"/>
      <w:marBottom w:val="0"/>
      <w:divBdr>
        <w:top w:val="none" w:sz="0" w:space="0" w:color="auto"/>
        <w:left w:val="none" w:sz="0" w:space="0" w:color="auto"/>
        <w:bottom w:val="none" w:sz="0" w:space="0" w:color="auto"/>
        <w:right w:val="none" w:sz="0" w:space="0" w:color="auto"/>
      </w:divBdr>
    </w:div>
    <w:div w:id="169223653">
      <w:marLeft w:val="0"/>
      <w:marRight w:val="0"/>
      <w:marTop w:val="0"/>
      <w:marBottom w:val="0"/>
      <w:divBdr>
        <w:top w:val="none" w:sz="0" w:space="0" w:color="auto"/>
        <w:left w:val="none" w:sz="0" w:space="0" w:color="auto"/>
        <w:bottom w:val="none" w:sz="0" w:space="0" w:color="auto"/>
        <w:right w:val="none" w:sz="0" w:space="0" w:color="auto"/>
      </w:divBdr>
    </w:div>
    <w:div w:id="169223654">
      <w:marLeft w:val="0"/>
      <w:marRight w:val="0"/>
      <w:marTop w:val="0"/>
      <w:marBottom w:val="0"/>
      <w:divBdr>
        <w:top w:val="none" w:sz="0" w:space="0" w:color="auto"/>
        <w:left w:val="none" w:sz="0" w:space="0" w:color="auto"/>
        <w:bottom w:val="none" w:sz="0" w:space="0" w:color="auto"/>
        <w:right w:val="none" w:sz="0" w:space="0" w:color="auto"/>
      </w:divBdr>
    </w:div>
    <w:div w:id="169223656">
      <w:marLeft w:val="0"/>
      <w:marRight w:val="0"/>
      <w:marTop w:val="0"/>
      <w:marBottom w:val="0"/>
      <w:divBdr>
        <w:top w:val="none" w:sz="0" w:space="0" w:color="auto"/>
        <w:left w:val="none" w:sz="0" w:space="0" w:color="auto"/>
        <w:bottom w:val="none" w:sz="0" w:space="0" w:color="auto"/>
        <w:right w:val="none" w:sz="0" w:space="0" w:color="auto"/>
      </w:divBdr>
    </w:div>
    <w:div w:id="169223657">
      <w:marLeft w:val="0"/>
      <w:marRight w:val="0"/>
      <w:marTop w:val="0"/>
      <w:marBottom w:val="0"/>
      <w:divBdr>
        <w:top w:val="none" w:sz="0" w:space="0" w:color="auto"/>
        <w:left w:val="none" w:sz="0" w:space="0" w:color="auto"/>
        <w:bottom w:val="none" w:sz="0" w:space="0" w:color="auto"/>
        <w:right w:val="none" w:sz="0" w:space="0" w:color="auto"/>
      </w:divBdr>
    </w:div>
    <w:div w:id="169223658">
      <w:marLeft w:val="0"/>
      <w:marRight w:val="0"/>
      <w:marTop w:val="0"/>
      <w:marBottom w:val="0"/>
      <w:divBdr>
        <w:top w:val="none" w:sz="0" w:space="0" w:color="auto"/>
        <w:left w:val="none" w:sz="0" w:space="0" w:color="auto"/>
        <w:bottom w:val="none" w:sz="0" w:space="0" w:color="auto"/>
        <w:right w:val="none" w:sz="0" w:space="0" w:color="auto"/>
      </w:divBdr>
    </w:div>
    <w:div w:id="169223659">
      <w:marLeft w:val="0"/>
      <w:marRight w:val="0"/>
      <w:marTop w:val="0"/>
      <w:marBottom w:val="0"/>
      <w:divBdr>
        <w:top w:val="none" w:sz="0" w:space="0" w:color="auto"/>
        <w:left w:val="none" w:sz="0" w:space="0" w:color="auto"/>
        <w:bottom w:val="none" w:sz="0" w:space="0" w:color="auto"/>
        <w:right w:val="none" w:sz="0" w:space="0" w:color="auto"/>
      </w:divBdr>
    </w:div>
    <w:div w:id="169223660">
      <w:marLeft w:val="0"/>
      <w:marRight w:val="0"/>
      <w:marTop w:val="0"/>
      <w:marBottom w:val="0"/>
      <w:divBdr>
        <w:top w:val="none" w:sz="0" w:space="0" w:color="auto"/>
        <w:left w:val="none" w:sz="0" w:space="0" w:color="auto"/>
        <w:bottom w:val="none" w:sz="0" w:space="0" w:color="auto"/>
        <w:right w:val="none" w:sz="0" w:space="0" w:color="auto"/>
      </w:divBdr>
    </w:div>
    <w:div w:id="169223661">
      <w:marLeft w:val="0"/>
      <w:marRight w:val="0"/>
      <w:marTop w:val="0"/>
      <w:marBottom w:val="0"/>
      <w:divBdr>
        <w:top w:val="none" w:sz="0" w:space="0" w:color="auto"/>
        <w:left w:val="none" w:sz="0" w:space="0" w:color="auto"/>
        <w:bottom w:val="none" w:sz="0" w:space="0" w:color="auto"/>
        <w:right w:val="none" w:sz="0" w:space="0" w:color="auto"/>
      </w:divBdr>
    </w:div>
    <w:div w:id="169223662">
      <w:marLeft w:val="0"/>
      <w:marRight w:val="0"/>
      <w:marTop w:val="0"/>
      <w:marBottom w:val="0"/>
      <w:divBdr>
        <w:top w:val="none" w:sz="0" w:space="0" w:color="auto"/>
        <w:left w:val="none" w:sz="0" w:space="0" w:color="auto"/>
        <w:bottom w:val="none" w:sz="0" w:space="0" w:color="auto"/>
        <w:right w:val="none" w:sz="0" w:space="0" w:color="auto"/>
      </w:divBdr>
    </w:div>
    <w:div w:id="169223663">
      <w:marLeft w:val="0"/>
      <w:marRight w:val="0"/>
      <w:marTop w:val="0"/>
      <w:marBottom w:val="0"/>
      <w:divBdr>
        <w:top w:val="none" w:sz="0" w:space="0" w:color="auto"/>
        <w:left w:val="none" w:sz="0" w:space="0" w:color="auto"/>
        <w:bottom w:val="none" w:sz="0" w:space="0" w:color="auto"/>
        <w:right w:val="none" w:sz="0" w:space="0" w:color="auto"/>
      </w:divBdr>
    </w:div>
    <w:div w:id="169223664">
      <w:marLeft w:val="0"/>
      <w:marRight w:val="0"/>
      <w:marTop w:val="0"/>
      <w:marBottom w:val="0"/>
      <w:divBdr>
        <w:top w:val="none" w:sz="0" w:space="0" w:color="auto"/>
        <w:left w:val="none" w:sz="0" w:space="0" w:color="auto"/>
        <w:bottom w:val="none" w:sz="0" w:space="0" w:color="auto"/>
        <w:right w:val="none" w:sz="0" w:space="0" w:color="auto"/>
      </w:divBdr>
    </w:div>
    <w:div w:id="169223665">
      <w:marLeft w:val="0"/>
      <w:marRight w:val="0"/>
      <w:marTop w:val="0"/>
      <w:marBottom w:val="0"/>
      <w:divBdr>
        <w:top w:val="none" w:sz="0" w:space="0" w:color="auto"/>
        <w:left w:val="none" w:sz="0" w:space="0" w:color="auto"/>
        <w:bottom w:val="none" w:sz="0" w:space="0" w:color="auto"/>
        <w:right w:val="none" w:sz="0" w:space="0" w:color="auto"/>
      </w:divBdr>
    </w:div>
    <w:div w:id="169223666">
      <w:marLeft w:val="0"/>
      <w:marRight w:val="0"/>
      <w:marTop w:val="0"/>
      <w:marBottom w:val="0"/>
      <w:divBdr>
        <w:top w:val="none" w:sz="0" w:space="0" w:color="auto"/>
        <w:left w:val="none" w:sz="0" w:space="0" w:color="auto"/>
        <w:bottom w:val="none" w:sz="0" w:space="0" w:color="auto"/>
        <w:right w:val="none" w:sz="0" w:space="0" w:color="auto"/>
      </w:divBdr>
    </w:div>
    <w:div w:id="169223667">
      <w:marLeft w:val="0"/>
      <w:marRight w:val="0"/>
      <w:marTop w:val="0"/>
      <w:marBottom w:val="0"/>
      <w:divBdr>
        <w:top w:val="none" w:sz="0" w:space="0" w:color="auto"/>
        <w:left w:val="none" w:sz="0" w:space="0" w:color="auto"/>
        <w:bottom w:val="none" w:sz="0" w:space="0" w:color="auto"/>
        <w:right w:val="none" w:sz="0" w:space="0" w:color="auto"/>
      </w:divBdr>
    </w:div>
    <w:div w:id="169223668">
      <w:marLeft w:val="0"/>
      <w:marRight w:val="0"/>
      <w:marTop w:val="0"/>
      <w:marBottom w:val="0"/>
      <w:divBdr>
        <w:top w:val="none" w:sz="0" w:space="0" w:color="auto"/>
        <w:left w:val="none" w:sz="0" w:space="0" w:color="auto"/>
        <w:bottom w:val="none" w:sz="0" w:space="0" w:color="auto"/>
        <w:right w:val="none" w:sz="0" w:space="0" w:color="auto"/>
      </w:divBdr>
    </w:div>
    <w:div w:id="169223669">
      <w:marLeft w:val="0"/>
      <w:marRight w:val="0"/>
      <w:marTop w:val="0"/>
      <w:marBottom w:val="0"/>
      <w:divBdr>
        <w:top w:val="none" w:sz="0" w:space="0" w:color="auto"/>
        <w:left w:val="none" w:sz="0" w:space="0" w:color="auto"/>
        <w:bottom w:val="none" w:sz="0" w:space="0" w:color="auto"/>
        <w:right w:val="none" w:sz="0" w:space="0" w:color="auto"/>
      </w:divBdr>
    </w:div>
    <w:div w:id="169223670">
      <w:marLeft w:val="0"/>
      <w:marRight w:val="0"/>
      <w:marTop w:val="0"/>
      <w:marBottom w:val="0"/>
      <w:divBdr>
        <w:top w:val="none" w:sz="0" w:space="0" w:color="auto"/>
        <w:left w:val="none" w:sz="0" w:space="0" w:color="auto"/>
        <w:bottom w:val="none" w:sz="0" w:space="0" w:color="auto"/>
        <w:right w:val="none" w:sz="0" w:space="0" w:color="auto"/>
      </w:divBdr>
    </w:div>
    <w:div w:id="169223672">
      <w:marLeft w:val="0"/>
      <w:marRight w:val="0"/>
      <w:marTop w:val="0"/>
      <w:marBottom w:val="0"/>
      <w:divBdr>
        <w:top w:val="none" w:sz="0" w:space="0" w:color="auto"/>
        <w:left w:val="none" w:sz="0" w:space="0" w:color="auto"/>
        <w:bottom w:val="none" w:sz="0" w:space="0" w:color="auto"/>
        <w:right w:val="none" w:sz="0" w:space="0" w:color="auto"/>
      </w:divBdr>
    </w:div>
    <w:div w:id="169223673">
      <w:marLeft w:val="0"/>
      <w:marRight w:val="0"/>
      <w:marTop w:val="0"/>
      <w:marBottom w:val="0"/>
      <w:divBdr>
        <w:top w:val="none" w:sz="0" w:space="0" w:color="auto"/>
        <w:left w:val="none" w:sz="0" w:space="0" w:color="auto"/>
        <w:bottom w:val="none" w:sz="0" w:space="0" w:color="auto"/>
        <w:right w:val="none" w:sz="0" w:space="0" w:color="auto"/>
      </w:divBdr>
      <w:divsChild>
        <w:div w:id="169223674">
          <w:marLeft w:val="1008"/>
          <w:marRight w:val="0"/>
          <w:marTop w:val="360"/>
          <w:marBottom w:val="0"/>
          <w:divBdr>
            <w:top w:val="none" w:sz="0" w:space="0" w:color="auto"/>
            <w:left w:val="none" w:sz="0" w:space="0" w:color="auto"/>
            <w:bottom w:val="none" w:sz="0" w:space="0" w:color="auto"/>
            <w:right w:val="none" w:sz="0" w:space="0" w:color="auto"/>
          </w:divBdr>
        </w:div>
      </w:divsChild>
    </w:div>
    <w:div w:id="169223675">
      <w:marLeft w:val="0"/>
      <w:marRight w:val="0"/>
      <w:marTop w:val="0"/>
      <w:marBottom w:val="0"/>
      <w:divBdr>
        <w:top w:val="none" w:sz="0" w:space="0" w:color="auto"/>
        <w:left w:val="none" w:sz="0" w:space="0" w:color="auto"/>
        <w:bottom w:val="none" w:sz="0" w:space="0" w:color="auto"/>
        <w:right w:val="none" w:sz="0" w:space="0" w:color="auto"/>
      </w:divBdr>
    </w:div>
    <w:div w:id="169223676">
      <w:marLeft w:val="0"/>
      <w:marRight w:val="0"/>
      <w:marTop w:val="0"/>
      <w:marBottom w:val="0"/>
      <w:divBdr>
        <w:top w:val="none" w:sz="0" w:space="0" w:color="auto"/>
        <w:left w:val="none" w:sz="0" w:space="0" w:color="auto"/>
        <w:bottom w:val="none" w:sz="0" w:space="0" w:color="auto"/>
        <w:right w:val="none" w:sz="0" w:space="0" w:color="auto"/>
      </w:divBdr>
    </w:div>
    <w:div w:id="169223677">
      <w:marLeft w:val="0"/>
      <w:marRight w:val="0"/>
      <w:marTop w:val="0"/>
      <w:marBottom w:val="0"/>
      <w:divBdr>
        <w:top w:val="none" w:sz="0" w:space="0" w:color="auto"/>
        <w:left w:val="none" w:sz="0" w:space="0" w:color="auto"/>
        <w:bottom w:val="none" w:sz="0" w:space="0" w:color="auto"/>
        <w:right w:val="none" w:sz="0" w:space="0" w:color="auto"/>
      </w:divBdr>
    </w:div>
    <w:div w:id="169223678">
      <w:marLeft w:val="0"/>
      <w:marRight w:val="0"/>
      <w:marTop w:val="0"/>
      <w:marBottom w:val="0"/>
      <w:divBdr>
        <w:top w:val="none" w:sz="0" w:space="0" w:color="auto"/>
        <w:left w:val="none" w:sz="0" w:space="0" w:color="auto"/>
        <w:bottom w:val="none" w:sz="0" w:space="0" w:color="auto"/>
        <w:right w:val="none" w:sz="0" w:space="0" w:color="auto"/>
      </w:divBdr>
      <w:divsChild>
        <w:div w:id="169223671">
          <w:marLeft w:val="1008"/>
          <w:marRight w:val="0"/>
          <w:marTop w:val="360"/>
          <w:marBottom w:val="0"/>
          <w:divBdr>
            <w:top w:val="none" w:sz="0" w:space="0" w:color="auto"/>
            <w:left w:val="none" w:sz="0" w:space="0" w:color="auto"/>
            <w:bottom w:val="none" w:sz="0" w:space="0" w:color="auto"/>
            <w:right w:val="none" w:sz="0" w:space="0" w:color="auto"/>
          </w:divBdr>
        </w:div>
      </w:divsChild>
    </w:div>
    <w:div w:id="169223679">
      <w:marLeft w:val="0"/>
      <w:marRight w:val="0"/>
      <w:marTop w:val="0"/>
      <w:marBottom w:val="0"/>
      <w:divBdr>
        <w:top w:val="none" w:sz="0" w:space="0" w:color="auto"/>
        <w:left w:val="none" w:sz="0" w:space="0" w:color="auto"/>
        <w:bottom w:val="none" w:sz="0" w:space="0" w:color="auto"/>
        <w:right w:val="none" w:sz="0" w:space="0" w:color="auto"/>
      </w:divBdr>
    </w:div>
    <w:div w:id="169223680">
      <w:marLeft w:val="0"/>
      <w:marRight w:val="0"/>
      <w:marTop w:val="0"/>
      <w:marBottom w:val="0"/>
      <w:divBdr>
        <w:top w:val="none" w:sz="0" w:space="0" w:color="auto"/>
        <w:left w:val="none" w:sz="0" w:space="0" w:color="auto"/>
        <w:bottom w:val="none" w:sz="0" w:space="0" w:color="auto"/>
        <w:right w:val="none" w:sz="0" w:space="0" w:color="auto"/>
      </w:divBdr>
    </w:div>
    <w:div w:id="169223681">
      <w:marLeft w:val="0"/>
      <w:marRight w:val="0"/>
      <w:marTop w:val="0"/>
      <w:marBottom w:val="0"/>
      <w:divBdr>
        <w:top w:val="none" w:sz="0" w:space="0" w:color="auto"/>
        <w:left w:val="none" w:sz="0" w:space="0" w:color="auto"/>
        <w:bottom w:val="none" w:sz="0" w:space="0" w:color="auto"/>
        <w:right w:val="none" w:sz="0" w:space="0" w:color="auto"/>
      </w:divBdr>
    </w:div>
    <w:div w:id="169223682">
      <w:marLeft w:val="0"/>
      <w:marRight w:val="0"/>
      <w:marTop w:val="0"/>
      <w:marBottom w:val="0"/>
      <w:divBdr>
        <w:top w:val="none" w:sz="0" w:space="0" w:color="auto"/>
        <w:left w:val="none" w:sz="0" w:space="0" w:color="auto"/>
        <w:bottom w:val="none" w:sz="0" w:space="0" w:color="auto"/>
        <w:right w:val="none" w:sz="0" w:space="0" w:color="auto"/>
      </w:divBdr>
    </w:div>
    <w:div w:id="169223683">
      <w:marLeft w:val="0"/>
      <w:marRight w:val="0"/>
      <w:marTop w:val="0"/>
      <w:marBottom w:val="0"/>
      <w:divBdr>
        <w:top w:val="none" w:sz="0" w:space="0" w:color="auto"/>
        <w:left w:val="none" w:sz="0" w:space="0" w:color="auto"/>
        <w:bottom w:val="none" w:sz="0" w:space="0" w:color="auto"/>
        <w:right w:val="none" w:sz="0" w:space="0" w:color="auto"/>
      </w:divBdr>
    </w:div>
    <w:div w:id="16922368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verigan\Documents\_BrandResources\USPTO%20Style%20Guide\OCE%20Templates\Working%20Paper\OCE_WorkingPap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3627B87564341CB8E9EA6EBFA5662C5"/>
        <w:category>
          <w:name w:val="General"/>
          <w:gallery w:val="placeholder"/>
        </w:category>
        <w:types>
          <w:type w:val="bbPlcHdr"/>
        </w:types>
        <w:behaviors>
          <w:behavior w:val="content"/>
        </w:behaviors>
        <w:guid w:val="{FDA15937-1954-4E0C-AC38-10064C7C17A0}"/>
      </w:docPartPr>
      <w:docPartBody>
        <w:p w:rsidR="00137347" w:rsidRDefault="00DB4F16" w:rsidP="00DB4F16">
          <w:pPr>
            <w:pStyle w:val="73627B87564341CB8E9EA6EBFA5662C5"/>
          </w:pPr>
          <w:r w:rsidRPr="00AA6985">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F16"/>
    <w:rsid w:val="00137347"/>
    <w:rsid w:val="00967933"/>
    <w:rsid w:val="00A21F75"/>
    <w:rsid w:val="00A36A61"/>
    <w:rsid w:val="00B03790"/>
    <w:rsid w:val="00BA4DF8"/>
    <w:rsid w:val="00BF0903"/>
    <w:rsid w:val="00CA5D4F"/>
    <w:rsid w:val="00DB4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DB4F16"/>
    <w:rPr>
      <w:color w:val="808080"/>
    </w:rPr>
  </w:style>
  <w:style w:type="paragraph" w:customStyle="1" w:styleId="73627B87564341CB8E9EA6EBFA5662C5">
    <w:name w:val="73627B87564341CB8E9EA6EBFA5662C5"/>
    <w:rsid w:val="00DB4F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USPTO Colors">
      <a:dk1>
        <a:sysClr val="windowText" lastClr="000000"/>
      </a:dk1>
      <a:lt1>
        <a:sysClr val="window" lastClr="FFFFFF"/>
      </a:lt1>
      <a:dk2>
        <a:srgbClr val="003865"/>
      </a:dk2>
      <a:lt2>
        <a:srgbClr val="9BB8D3"/>
      </a:lt2>
      <a:accent1>
        <a:srgbClr val="004C97"/>
      </a:accent1>
      <a:accent2>
        <a:srgbClr val="009CDE"/>
      </a:accent2>
      <a:accent3>
        <a:srgbClr val="7A9A01"/>
      </a:accent3>
      <a:accent4>
        <a:srgbClr val="671E75"/>
      </a:accent4>
      <a:accent5>
        <a:srgbClr val="F3D54E"/>
      </a:accent5>
      <a:accent6>
        <a:srgbClr val="A6192E"/>
      </a:accent6>
      <a:hlink>
        <a:srgbClr val="004C97"/>
      </a:hlink>
      <a:folHlink>
        <a:srgbClr val="4F81BD"/>
      </a:folHlink>
    </a:clrScheme>
    <a:fontScheme name="Segoe">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FileNamingConvention xmlns="78841e01-e8d5-482f-8fca-99a29450c76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4740C4C49CCC4E97778DAD3B465EA3" ma:contentTypeVersion="10" ma:contentTypeDescription="Create a new document." ma:contentTypeScope="" ma:versionID="b8daa540235eb80f0f7be92ba8aefed2">
  <xsd:schema xmlns:xsd="http://www.w3.org/2001/XMLSchema" xmlns:xs="http://www.w3.org/2001/XMLSchema" xmlns:p="http://schemas.microsoft.com/office/2006/metadata/properties" xmlns:ns2="78841e01-e8d5-482f-8fca-99a29450c762" xmlns:ns3="97472c63-1101-4d39-b55d-32920e652f63" targetNamespace="http://schemas.microsoft.com/office/2006/metadata/properties" ma:root="true" ma:fieldsID="ed426232c8e98ae57054265c48278f5c" ns2:_="" ns3:_="">
    <xsd:import namespace="78841e01-e8d5-482f-8fca-99a29450c762"/>
    <xsd:import namespace="97472c63-1101-4d39-b55d-32920e652f63"/>
    <xsd:element name="properties">
      <xsd:complexType>
        <xsd:sequence>
          <xsd:element name="documentManagement">
            <xsd:complexType>
              <xsd:all>
                <xsd:element ref="ns2:FileNamingConven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841e01-e8d5-482f-8fca-99a29450c762" elementFormDefault="qualified">
    <xsd:import namespace="http://schemas.microsoft.com/office/2006/documentManagement/types"/>
    <xsd:import namespace="http://schemas.microsoft.com/office/infopath/2007/PartnerControls"/>
    <xsd:element name="FileNamingConvention" ma:index="8" nillable="true" ma:displayName="Keywords" ma:description="Enter any keywords to identify this file" ma:internalName="FileNamingConven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472c63-1101-4d39-b55d-32920e652f63" elementFormDefault="qualified">
    <xsd:import namespace="http://schemas.microsoft.com/office/2006/documentManagement/types"/>
    <xsd:import namespace="http://schemas.microsoft.com/office/infopath/2007/PartnerControls"/>
    <xsd:element name="SharedWithUsers" ma:index="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A7E8D-674B-4319-A22C-D0BE3E52D17A}">
  <ds:schemaRefs>
    <ds:schemaRef ds:uri="http://schemas.microsoft.com/office/2006/metadata/properties"/>
    <ds:schemaRef ds:uri="http://schemas.microsoft.com/office/infopath/2007/PartnerControls"/>
    <ds:schemaRef ds:uri="78841e01-e8d5-482f-8fca-99a29450c762"/>
  </ds:schemaRefs>
</ds:datastoreItem>
</file>

<file path=customXml/itemProps2.xml><?xml version="1.0" encoding="utf-8"?>
<ds:datastoreItem xmlns:ds="http://schemas.openxmlformats.org/officeDocument/2006/customXml" ds:itemID="{1D0E3BEF-2CF2-4CEA-9163-A2B00B9F2774}">
  <ds:schemaRefs>
    <ds:schemaRef ds:uri="http://schemas.microsoft.com/sharepoint/v3/contenttype/forms"/>
  </ds:schemaRefs>
</ds:datastoreItem>
</file>

<file path=customXml/itemProps3.xml><?xml version="1.0" encoding="utf-8"?>
<ds:datastoreItem xmlns:ds="http://schemas.openxmlformats.org/officeDocument/2006/customXml" ds:itemID="{ACCBF5F0-5E4C-4ADA-8E06-FE9774F36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841e01-e8d5-482f-8fca-99a29450c762"/>
    <ds:schemaRef ds:uri="97472c63-1101-4d39-b55d-32920e652f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01422FB-1240-4721-BD57-64B6E33C5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OCE_WorkingPaper</Template>
  <TotalTime>0</TotalTime>
  <Pages>6</Pages>
  <Words>1737</Words>
  <Characters>9907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English Translation of Provisions of the Supreme People’s Court on Several Issues Concerning Application of Law to the Trial of Patent Civil Cases Involving the Review and Approval for Drug Marketing (Draft for Comment)</vt:lpstr>
    </vt:vector>
  </TitlesOfParts>
  <Company/>
  <LinksUpToDate>false</LinksUpToDate>
  <CharactersWithSpaces>11621</CharactersWithSpaces>
  <SharedDoc>false</SharedDoc>
  <HLinks>
    <vt:vector size="6" baseType="variant">
      <vt:variant>
        <vt:i4>3080250</vt:i4>
      </vt:variant>
      <vt:variant>
        <vt:i4>0</vt:i4>
      </vt:variant>
      <vt:variant>
        <vt:i4>0</vt:i4>
      </vt:variant>
      <vt:variant>
        <vt:i4>5</vt:i4>
      </vt:variant>
      <vt:variant>
        <vt:lpwstr>http://www.uspto.gov/economics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Translation of Provisions of the Supreme People’s Court on Several Issues Concerning Application of Law to the Trial of Patent Civil Cases Involving the Review and Approval for Drug Marketing (Draft for Comment)</dc:title>
  <dc:subject/>
  <dc:creator/>
  <cp:keywords/>
  <cp:lastModifiedBy/>
  <cp:revision>1</cp:revision>
  <dcterms:created xsi:type="dcterms:W3CDTF">2021-05-28T20:50:00Z</dcterms:created>
  <dcterms:modified xsi:type="dcterms:W3CDTF">2021-05-28T20:50:00Z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0x010100E54740C4C49CCC4E97778DAD3B465EA3</vt:lpwstr>
  </property>
</Properties>
</file>